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E259EC" w14:textId="6573C5F0" w:rsidR="00482369" w:rsidRDefault="00AB4E77" w:rsidP="00A96C3B">
      <w:pPr>
        <w:tabs>
          <w:tab w:val="right" w:pos="6690"/>
        </w:tabs>
        <w:spacing w:after="120"/>
      </w:pPr>
      <w:r>
        <w:rPr>
          <w:noProof/>
        </w:rPr>
        <mc:AlternateContent>
          <mc:Choice Requires="wps">
            <w:drawing>
              <wp:anchor distT="0" distB="0" distL="114300" distR="114300" simplePos="0" relativeHeight="251648512" behindDoc="1" locked="0" layoutInCell="1" allowOverlap="1" wp14:anchorId="69B4E304" wp14:editId="7159C59E">
                <wp:simplePos x="0" y="0"/>
                <wp:positionH relativeFrom="column">
                  <wp:posOffset>-736600</wp:posOffset>
                </wp:positionH>
                <wp:positionV relativeFrom="paragraph">
                  <wp:posOffset>-177164</wp:posOffset>
                </wp:positionV>
                <wp:extent cx="5139055" cy="6205432"/>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9055" cy="6205432"/>
                        </a:xfrm>
                        <a:prstGeom prst="rect">
                          <a:avLst/>
                        </a:prstGeom>
                        <a:noFill/>
                        <a:ln w="9525">
                          <a:noFill/>
                          <a:miter lim="800000"/>
                          <a:headEnd/>
                          <a:tailEnd/>
                        </a:ln>
                      </wps:spPr>
                      <wps:txbx>
                        <w:txbxContent>
                          <w:p w14:paraId="67361F92" w14:textId="74D00459" w:rsidR="002A05F2" w:rsidRPr="000E138E" w:rsidRDefault="002A05F2" w:rsidP="00C30311">
                            <w:pPr>
                              <w:spacing w:before="120" w:after="120"/>
                              <w:rPr>
                                <w:rFonts w:ascii="Arial" w:hAnsi="Arial" w:cs="Arial"/>
                                <w:b/>
                                <w:color w:val="0164E6"/>
                                <w:sz w:val="32"/>
                                <w:szCs w:val="32"/>
                              </w:rPr>
                            </w:pPr>
                            <w:r w:rsidRPr="000E138E">
                              <w:rPr>
                                <w:rFonts w:ascii="Arial" w:hAnsi="Arial" w:cs="Arial"/>
                                <w:b/>
                                <w:color w:val="0164E6"/>
                                <w:sz w:val="32"/>
                                <w:szCs w:val="32"/>
                              </w:rPr>
                              <w:t>Sufficiency or Deficiency: A Philosophical Issue</w:t>
                            </w:r>
                          </w:p>
                          <w:p w14:paraId="7E391C62" w14:textId="04D77EDC" w:rsidR="002A05F2" w:rsidRDefault="002A05F2" w:rsidP="00541CC8">
                            <w:pPr>
                              <w:autoSpaceDE w:val="0"/>
                              <w:autoSpaceDN w:val="0"/>
                              <w:adjustRightInd w:val="0"/>
                              <w:spacing w:before="60" w:after="120" w:line="240" w:lineRule="auto"/>
                              <w:rPr>
                                <w:rFonts w:ascii="Times New Roman" w:hAnsi="Times New Roman" w:cs="Times New Roman"/>
                              </w:rPr>
                            </w:pPr>
                            <w:bookmarkStart w:id="0" w:name="_GoBack"/>
                            <w:bookmarkEnd w:id="0"/>
                            <w:r>
                              <w:rPr>
                                <w:rFonts w:ascii="Times New Roman" w:hAnsi="Times New Roman" w:cs="Times New Roman"/>
                              </w:rPr>
                              <w:t>One item in the Control Room Management (CRM) alarm management regulation is “addressing deficiencies identified” in the procedures and implementation of the parts of the alarm management regulation.  An effective CRM Plan is one that identifies and corrects deficiencies in all areas of control room management, not just in the alarm management section.  Is your CRM Plan sufficient for its purpose?   Do you have a process for identifying and correcting deficiencies in the entire CRM Plan?  Does it bother you to think about deficiencies?</w:t>
                            </w:r>
                          </w:p>
                          <w:p w14:paraId="05143526" w14:textId="11DD5448" w:rsidR="002A05F2" w:rsidRDefault="002A05F2" w:rsidP="00541CC8">
                            <w:pPr>
                              <w:autoSpaceDE w:val="0"/>
                              <w:autoSpaceDN w:val="0"/>
                              <w:adjustRightInd w:val="0"/>
                              <w:spacing w:before="60" w:after="120" w:line="240" w:lineRule="auto"/>
                              <w:rPr>
                                <w:rFonts w:ascii="Times New Roman" w:hAnsi="Times New Roman" w:cs="Times New Roman"/>
                              </w:rPr>
                            </w:pPr>
                            <w:r>
                              <w:rPr>
                                <w:rFonts w:ascii="Times New Roman" w:hAnsi="Times New Roman" w:cs="Times New Roman"/>
                              </w:rPr>
                              <w:t>A controller in one of our recent team training sessions remarked that no one ever compliments them about their good performance and constantly harps on any mistakes or errors that are made.  He said that his performance is good 99% of the time, and we are always talking about accidents, errors, mistakes, and lapses.  He would like to be complimented and not criticized.  He does not want to be lumped in with those controllers who have been involved in accidents.   He may be riding for a fall.</w:t>
                            </w:r>
                          </w:p>
                          <w:p w14:paraId="09DA030B" w14:textId="08672A88" w:rsidR="002A05F2" w:rsidRDefault="002A05F2" w:rsidP="00541CC8">
                            <w:pPr>
                              <w:autoSpaceDE w:val="0"/>
                              <w:autoSpaceDN w:val="0"/>
                              <w:adjustRightInd w:val="0"/>
                              <w:spacing w:before="60" w:after="120" w:line="240" w:lineRule="auto"/>
                              <w:rPr>
                                <w:rFonts w:ascii="Times New Roman" w:hAnsi="Times New Roman" w:cs="Times New Roman"/>
                              </w:rPr>
                            </w:pPr>
                            <w:r>
                              <w:rPr>
                                <w:rFonts w:ascii="Times New Roman" w:hAnsi="Times New Roman" w:cs="Times New Roman"/>
                              </w:rPr>
                              <w:t xml:space="preserve">He also may be right about his performance, and the industry cites a similar percentage:  </w:t>
                            </w:r>
                            <w:r w:rsidRPr="008F412A">
                              <w:rPr>
                                <w:rFonts w:ascii="Times New Roman" w:hAnsi="Times New Roman" w:cs="Times New Roman"/>
                                <w:i/>
                              </w:rPr>
                              <w:t>A barrel of crude oil or petroleum product shipped by pipeline safely reaches its destination more than 99.99% of the time.</w:t>
                            </w:r>
                            <w:r w:rsidRPr="008F412A">
                              <w:rPr>
                                <w:rFonts w:ascii="Times New Roman" w:hAnsi="Times New Roman" w:cs="Times New Roman"/>
                              </w:rPr>
                              <w:t xml:space="preserve">  (Source</w:t>
                            </w:r>
                            <w:r w:rsidR="00142AC8">
                              <w:rPr>
                                <w:rFonts w:ascii="Times New Roman" w:hAnsi="Times New Roman" w:cs="Times New Roman"/>
                              </w:rPr>
                              <w:t>:</w:t>
                            </w:r>
                            <w:r w:rsidRPr="008F412A">
                              <w:rPr>
                                <w:rFonts w:ascii="Times New Roman" w:hAnsi="Times New Roman" w:cs="Times New Roman"/>
                              </w:rPr>
                              <w:t xml:space="preserve"> </w:t>
                            </w:r>
                            <w:hyperlink r:id="rId8" w:history="1">
                              <w:r w:rsidRPr="00C74B2A">
                                <w:rPr>
                                  <w:rStyle w:val="Hyperlink"/>
                                  <w:rFonts w:ascii="Times New Roman" w:hAnsi="Times New Roman" w:cs="Times New Roman"/>
                                </w:rPr>
                                <w:t>https://energycitizens.org/wp-content/uploads/2017/02/API-EC-Infrastructure101-Final.pdf</w:t>
                              </w:r>
                            </w:hyperlink>
                            <w:r w:rsidRPr="008F412A">
                              <w:rPr>
                                <w:rFonts w:ascii="Times New Roman" w:hAnsi="Times New Roman" w:cs="Times New Roman"/>
                              </w:rPr>
                              <w:t>)</w:t>
                            </w:r>
                            <w:r>
                              <w:rPr>
                                <w:rFonts w:ascii="Times New Roman" w:hAnsi="Times New Roman" w:cs="Times New Roman"/>
                              </w:rPr>
                              <w:t xml:space="preserve">  </w:t>
                            </w:r>
                          </w:p>
                          <w:p w14:paraId="6D65503E" w14:textId="14D09C77" w:rsidR="002A05F2" w:rsidRPr="00852784" w:rsidRDefault="002A05F2" w:rsidP="00541CC8">
                            <w:pPr>
                              <w:shd w:val="clear" w:color="auto" w:fill="FFFFFF"/>
                              <w:spacing w:after="120" w:line="240" w:lineRule="auto"/>
                              <w:rPr>
                                <w:rFonts w:ascii="Times New Roman" w:eastAsia="Wawati TC Regular" w:hAnsi="Times New Roman" w:cs="Times New Roman"/>
                                <w:i/>
                                <w:color w:val="2C2D33"/>
                              </w:rPr>
                            </w:pPr>
                            <w:r w:rsidRPr="00852784">
                              <w:rPr>
                                <w:rFonts w:ascii="Times New Roman" w:eastAsia="Wawati TC Regular" w:hAnsi="Times New Roman" w:cs="Times New Roman"/>
                              </w:rPr>
                              <w:t xml:space="preserve">The natural gas industry also emphasizes safety: </w:t>
                            </w:r>
                            <w:r w:rsidRPr="00852784">
                              <w:rPr>
                                <w:rFonts w:ascii="Times New Roman" w:eastAsia="Wawati TC Regular" w:hAnsi="Times New Roman" w:cs="Times New Roman"/>
                                <w:i/>
                                <w:color w:val="2C2D33"/>
                              </w:rPr>
                              <w:t>The dedicated efforts of natural gas utilities over the past three decades have led to an approximately </w:t>
                            </w:r>
                            <w:r w:rsidRPr="00852784">
                              <w:rPr>
                                <w:rFonts w:ascii="Times New Roman" w:eastAsia="Wawati TC Regular" w:hAnsi="Times New Roman" w:cs="Times New Roman"/>
                                <w:bCs/>
                                <w:i/>
                                <w:color w:val="2C2D33"/>
                                <w:bdr w:val="none" w:sz="0" w:space="0" w:color="auto" w:frame="1"/>
                              </w:rPr>
                              <w:t>40 percent decline in pipeline incidents</w:t>
                            </w:r>
                            <w:r w:rsidRPr="00852784">
                              <w:rPr>
                                <w:rFonts w:ascii="Times New Roman" w:eastAsia="Wawati TC Regular" w:hAnsi="Times New Roman" w:cs="Times New Roman"/>
                                <w:i/>
                                <w:color w:val="2C2D33"/>
                              </w:rPr>
                              <w:t> over the past ten years.</w:t>
                            </w:r>
                            <w:r>
                              <w:rPr>
                                <w:rFonts w:ascii="Times New Roman" w:eastAsia="Wawati TC Regular" w:hAnsi="Times New Roman" w:cs="Times New Roman"/>
                                <w:i/>
                                <w:color w:val="2C2D33"/>
                              </w:rPr>
                              <w:t xml:space="preserve">  </w:t>
                            </w:r>
                            <w:r>
                              <w:rPr>
                                <w:rFonts w:ascii="Times New Roman" w:eastAsia="Wawati TC Regular" w:hAnsi="Times New Roman" w:cs="Times New Roman"/>
                                <w:color w:val="2C2D33"/>
                              </w:rPr>
                              <w:t xml:space="preserve">(Source: </w:t>
                            </w:r>
                            <w:hyperlink r:id="rId9" w:history="1">
                              <w:r w:rsidRPr="00C74B2A">
                                <w:rPr>
                                  <w:rStyle w:val="Hyperlink"/>
                                  <w:rFonts w:ascii="Times New Roman" w:eastAsia="Wawati TC Regular" w:hAnsi="Times New Roman" w:cs="Times New Roman"/>
                                </w:rPr>
                                <w:t>https://www.aga.org/fact-sheets/pipeline-safety</w:t>
                              </w:r>
                            </w:hyperlink>
                            <w:r>
                              <w:rPr>
                                <w:rFonts w:ascii="Times New Roman" w:eastAsia="Wawati TC Regular" w:hAnsi="Times New Roman" w:cs="Times New Roman"/>
                              </w:rPr>
                              <w:t xml:space="preserve">) </w:t>
                            </w:r>
                          </w:p>
                          <w:p w14:paraId="1B6B792B" w14:textId="3407851F" w:rsidR="002A05F2" w:rsidRDefault="002A05F2" w:rsidP="008A0286">
                            <w:pPr>
                              <w:autoSpaceDE w:val="0"/>
                              <w:autoSpaceDN w:val="0"/>
                              <w:adjustRightInd w:val="0"/>
                              <w:spacing w:before="60" w:after="120" w:line="240" w:lineRule="auto"/>
                              <w:rPr>
                                <w:rFonts w:ascii="Times New Roman" w:hAnsi="Times New Roman" w:cs="Times New Roman"/>
                              </w:rPr>
                            </w:pPr>
                            <w:r>
                              <w:rPr>
                                <w:rFonts w:ascii="Times New Roman" w:hAnsi="Times New Roman" w:cs="Times New Roman"/>
                              </w:rPr>
                              <w:t>Here’s my problem. Some pipeline accidents lead to deaths and injuries. That .01% of the time when barrels do not reach their destination has the potential to harm the public, pipeliners, the environment, and the pipeline infrastructure.  The probability may be low, but the consequences can be dire.  I have been a pipeliner since 1966, have made my share of operating errors, have responded to many spills, and have seen the results of pipeline accidents on people and their families and on companies.</w:t>
                            </w:r>
                          </w:p>
                          <w:p w14:paraId="723816CC" w14:textId="2719D0C8" w:rsidR="002A05F2" w:rsidRPr="00A77150" w:rsidRDefault="002A05F2" w:rsidP="00252A29">
                            <w:pPr>
                              <w:widowControl w:val="0"/>
                              <w:autoSpaceDE w:val="0"/>
                              <w:autoSpaceDN w:val="0"/>
                              <w:adjustRightInd w:val="0"/>
                              <w:spacing w:after="120" w:line="240" w:lineRule="auto"/>
                              <w:rPr>
                                <w:rFonts w:ascii="Times New Roman" w:hAnsi="Times New Roman" w:cs="Times New Roman"/>
                                <w:szCs w:val="24"/>
                              </w:rPr>
                            </w:pPr>
                            <w:r>
                              <w:rPr>
                                <w:rFonts w:ascii="Times New Roman" w:hAnsi="Times New Roman" w:cs="Times New Roman"/>
                              </w:rPr>
                              <w:t>I want CRM Plans and other programs to be sufficient for their purpose, and not deficient.   We are dedicated to that goal.  A starting point is to set a standard of sufficiency.  I was thinking last night that even some companies that have had pipeline accidents are still satisfied with minimal compliance when it comes to regulations.  That bothers me deeply; even keeps me awake some nights.</w:t>
                            </w:r>
                          </w:p>
                          <w:p w14:paraId="06B0E2BD" w14:textId="74A03858" w:rsidR="002A05F2" w:rsidRDefault="002A05F2" w:rsidP="00252A29">
                            <w:pPr>
                              <w:widowControl w:val="0"/>
                              <w:autoSpaceDE w:val="0"/>
                              <w:autoSpaceDN w:val="0"/>
                              <w:adjustRightInd w:val="0"/>
                              <w:spacing w:after="120" w:line="240" w:lineRule="auto"/>
                              <w:rPr>
                                <w:rFonts w:ascii="Times New Roman" w:hAnsi="Times New Roman" w:cs="Times New Roman"/>
                                <w:i/>
                                <w:szCs w:val="24"/>
                              </w:rPr>
                            </w:pPr>
                            <w:r>
                              <w:rPr>
                                <w:rFonts w:ascii="Times New Roman" w:hAnsi="Times New Roman" w:cs="Times New Roman"/>
                                <w:i/>
                                <w:szCs w:val="24"/>
                              </w:rPr>
                              <w:t xml:space="preserve">  </w:t>
                            </w:r>
                          </w:p>
                          <w:p w14:paraId="377A9169" w14:textId="77777777" w:rsidR="002A05F2" w:rsidRPr="00BD70AE" w:rsidRDefault="002A05F2" w:rsidP="00BD70AE">
                            <w:pPr>
                              <w:rPr>
                                <w:rFonts w:ascii="Times New Roman" w:hAnsi="Times New Roman" w:cs="Times New Roman"/>
                                <w:szCs w:val="24"/>
                              </w:rPr>
                            </w:pPr>
                          </w:p>
                          <w:p w14:paraId="11D01C08" w14:textId="77777777" w:rsidR="002A05F2" w:rsidRPr="00530478" w:rsidRDefault="002A05F2" w:rsidP="00530478">
                            <w:pPr>
                              <w:rPr>
                                <w:rFonts w:ascii="Times New Roman" w:hAnsi="Times New Roman" w:cs="Times New Roman"/>
                                <w:szCs w:val="24"/>
                              </w:rPr>
                            </w:pPr>
                          </w:p>
                          <w:p w14:paraId="28517E5F" w14:textId="42D71400" w:rsidR="002A05F2" w:rsidRDefault="002A05F2" w:rsidP="0093278B">
                            <w:pPr>
                              <w:rPr>
                                <w:rFonts w:ascii="Times New Roman" w:hAnsi="Times New Roman" w:cs="Times New Roman"/>
                                <w:szCs w:val="24"/>
                              </w:rPr>
                            </w:pPr>
                          </w:p>
                          <w:p w14:paraId="661A2B91" w14:textId="77777777" w:rsidR="002A05F2" w:rsidRDefault="002A05F2" w:rsidP="0093278B">
                            <w:pPr>
                              <w:rPr>
                                <w:rFonts w:ascii="Times New Roman" w:hAnsi="Times New Roman" w:cs="Times New Roman"/>
                                <w:szCs w:val="24"/>
                              </w:rPr>
                            </w:pPr>
                          </w:p>
                          <w:p w14:paraId="192505BC" w14:textId="77777777" w:rsidR="002A05F2" w:rsidRDefault="002A05F2" w:rsidP="0093278B">
                            <w:pPr>
                              <w:rPr>
                                <w:rFonts w:ascii="Times New Roman" w:hAnsi="Times New Roman" w:cs="Times New Roman"/>
                                <w:szCs w:val="24"/>
                              </w:rPr>
                            </w:pPr>
                          </w:p>
                          <w:p w14:paraId="16E2D73E" w14:textId="77777777" w:rsidR="002A05F2" w:rsidRDefault="002A05F2" w:rsidP="009E3731">
                            <w:pPr>
                              <w:spacing w:after="0" w:line="240" w:lineRule="auto"/>
                              <w:rPr>
                                <w:rFonts w:ascii="Times New Roman" w:eastAsia="Times New Roman" w:hAnsi="Times New Roman" w:cs="Times New Roman"/>
                                <w:b/>
                                <w:iCs/>
                                <w:color w:val="000000"/>
                                <w:sz w:val="24"/>
                                <w:szCs w:val="24"/>
                                <w:shd w:val="clear" w:color="auto" w:fill="F1F3F5"/>
                              </w:rPr>
                            </w:pPr>
                          </w:p>
                          <w:p w14:paraId="176816C1" w14:textId="77777777" w:rsidR="002A05F2" w:rsidRDefault="002A05F2" w:rsidP="009E3731">
                            <w:pPr>
                              <w:spacing w:after="0" w:line="240" w:lineRule="auto"/>
                              <w:rPr>
                                <w:rFonts w:ascii="Times New Roman" w:eastAsia="Times New Roman" w:hAnsi="Times New Roman" w:cs="Times New Roman"/>
                                <w:b/>
                                <w:iCs/>
                                <w:color w:val="000000"/>
                                <w:sz w:val="24"/>
                                <w:szCs w:val="24"/>
                                <w:shd w:val="clear" w:color="auto" w:fill="F1F3F5"/>
                              </w:rPr>
                            </w:pPr>
                          </w:p>
                          <w:p w14:paraId="0F3DAA8E" w14:textId="77777777" w:rsidR="002A05F2" w:rsidRDefault="002A05F2" w:rsidP="009E3731">
                            <w:pPr>
                              <w:spacing w:after="0" w:line="240" w:lineRule="auto"/>
                              <w:rPr>
                                <w:rFonts w:ascii="Times New Roman" w:eastAsia="Times New Roman" w:hAnsi="Times New Roman" w:cs="Times New Roman"/>
                                <w:b/>
                                <w:iCs/>
                                <w:color w:val="000000"/>
                                <w:sz w:val="24"/>
                                <w:szCs w:val="24"/>
                                <w:shd w:val="clear" w:color="auto" w:fill="F1F3F5"/>
                              </w:rPr>
                            </w:pPr>
                          </w:p>
                          <w:p w14:paraId="4BC4C527" w14:textId="77777777" w:rsidR="002A05F2" w:rsidRDefault="002A05F2" w:rsidP="009E3731">
                            <w:pPr>
                              <w:spacing w:after="0" w:line="240" w:lineRule="auto"/>
                              <w:rPr>
                                <w:rFonts w:ascii="Times New Roman" w:eastAsia="Times New Roman" w:hAnsi="Times New Roman" w:cs="Times New Roman"/>
                                <w:b/>
                                <w:iCs/>
                                <w:color w:val="000000"/>
                                <w:sz w:val="24"/>
                                <w:szCs w:val="24"/>
                                <w:shd w:val="clear" w:color="auto" w:fill="F1F3F5"/>
                              </w:rPr>
                            </w:pPr>
                          </w:p>
                          <w:p w14:paraId="56CC5284" w14:textId="77777777" w:rsidR="002A05F2" w:rsidRPr="00367440" w:rsidRDefault="002A05F2" w:rsidP="009E3731">
                            <w:pPr>
                              <w:spacing w:after="0" w:line="240" w:lineRule="auto"/>
                              <w:rPr>
                                <w:rFonts w:ascii="Times New Roman" w:eastAsia="Times New Roman" w:hAnsi="Times New Roman" w:cs="Times New Roman"/>
                                <w:b/>
                                <w:sz w:val="24"/>
                                <w:szCs w:val="24"/>
                              </w:rPr>
                            </w:pPr>
                          </w:p>
                          <w:p w14:paraId="0475C207" w14:textId="743BA148" w:rsidR="002A05F2" w:rsidRPr="00837DFE" w:rsidRDefault="002A05F2" w:rsidP="00837DFE">
                            <w:pPr>
                              <w:rPr>
                                <w:rFonts w:ascii="Times New Roman" w:hAnsi="Times New Roman" w:cs="Times New Roman"/>
                                <w:szCs w:val="24"/>
                              </w:rPr>
                            </w:pPr>
                          </w:p>
                          <w:p w14:paraId="0D674FCD" w14:textId="23F68545" w:rsidR="002A05F2" w:rsidRDefault="002A05F2" w:rsidP="007E17F4">
                            <w:pPr>
                              <w:spacing w:before="120"/>
                              <w:rPr>
                                <w:rFonts w:ascii="Times New Roman" w:hAnsi="Times New Roman" w:cs="Times New Roman"/>
                                <w:szCs w:val="24"/>
                              </w:rPr>
                            </w:pPr>
                          </w:p>
                          <w:p w14:paraId="25EEFFEE" w14:textId="77777777" w:rsidR="002A05F2" w:rsidRPr="0024724D" w:rsidRDefault="002A05F2" w:rsidP="00821177">
                            <w:pPr>
                              <w:pStyle w:val="ListParagraph"/>
                              <w:ind w:left="360"/>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B4E304" id="_x0000_t202" coordsize="21600,21600" o:spt="202" path="m,l,21600r21600,l21600,xe">
                <v:stroke joinstyle="miter"/>
                <v:path gradientshapeok="t" o:connecttype="rect"/>
              </v:shapetype>
              <v:shape id="Text Box 3" o:spid="_x0000_s1026" type="#_x0000_t202" style="position:absolute;margin-left:-58pt;margin-top:-13.95pt;width:404.65pt;height:488.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" filled="f" stroked="f">
                <v:textbox>
                  <w:txbxContent>
                    <w:p w14:paraId="67361F92" w14:textId="74D00459" w:rsidR="002A05F2" w:rsidRPr="000E138E" w:rsidRDefault="002A05F2" w:rsidP="00C30311">
                      <w:pPr>
                        <w:spacing w:before="120" w:after="120"/>
                        <w:rPr>
                          <w:rFonts w:ascii="Arial" w:hAnsi="Arial" w:cs="Arial"/>
                          <w:b/>
                          <w:color w:val="0164E6"/>
                          <w:sz w:val="32"/>
                          <w:szCs w:val="32"/>
                        </w:rPr>
                      </w:pPr>
                      <w:r w:rsidRPr="000E138E">
                        <w:rPr>
                          <w:rFonts w:ascii="Arial" w:hAnsi="Arial" w:cs="Arial"/>
                          <w:b/>
                          <w:color w:val="0164E6"/>
                          <w:sz w:val="32"/>
                          <w:szCs w:val="32"/>
                        </w:rPr>
                        <w:t>Sufficiency or Deficiency: A Philosophical Issue</w:t>
                      </w:r>
                    </w:p>
                    <w:p w14:paraId="7E391C62" w14:textId="04D77EDC" w:rsidR="002A05F2" w:rsidRDefault="002A05F2" w:rsidP="00541CC8">
                      <w:pPr>
                        <w:autoSpaceDE w:val="0"/>
                        <w:autoSpaceDN w:val="0"/>
                        <w:adjustRightInd w:val="0"/>
                        <w:spacing w:before="60" w:after="120" w:line="240" w:lineRule="auto"/>
                        <w:rPr>
                          <w:rFonts w:ascii="Times New Roman" w:hAnsi="Times New Roman" w:cs="Times New Roman"/>
                        </w:rPr>
                      </w:pPr>
                      <w:bookmarkStart w:id="1" w:name="_GoBack"/>
                      <w:bookmarkEnd w:id="1"/>
                      <w:r>
                        <w:rPr>
                          <w:rFonts w:ascii="Times New Roman" w:hAnsi="Times New Roman" w:cs="Times New Roman"/>
                        </w:rPr>
                        <w:t>One item in the Control Room Management (CRM) alarm management regulation is “addressing deficiencies identified” in the procedures and implementation of the parts of the alarm management regulation.  An effective CRM Plan is one that identifies and corrects deficiencies in all areas of control room management, not just in the alarm management section.  Is your CRM Plan sufficient for its purpose?   Do you have a process for identifying and correcting deficiencies in the entire CRM Plan?  Does it bother you to think about deficiencies?</w:t>
                      </w:r>
                    </w:p>
                    <w:p w14:paraId="05143526" w14:textId="11DD5448" w:rsidR="002A05F2" w:rsidRDefault="002A05F2" w:rsidP="00541CC8">
                      <w:pPr>
                        <w:autoSpaceDE w:val="0"/>
                        <w:autoSpaceDN w:val="0"/>
                        <w:adjustRightInd w:val="0"/>
                        <w:spacing w:before="60" w:after="120" w:line="240" w:lineRule="auto"/>
                        <w:rPr>
                          <w:rFonts w:ascii="Times New Roman" w:hAnsi="Times New Roman" w:cs="Times New Roman"/>
                        </w:rPr>
                      </w:pPr>
                      <w:r>
                        <w:rPr>
                          <w:rFonts w:ascii="Times New Roman" w:hAnsi="Times New Roman" w:cs="Times New Roman"/>
                        </w:rPr>
                        <w:t>A controller in one of our recent team training sessions remarked that no one ever compliments them about their good performance and constantly harps on any mistakes or errors that are made.  He said that his performance is good 99% of the time, and we are always talking about accidents, errors, mistakes, and lapses.  He would like to be complimented and not criticized.  He does not want to be lumped in with those controllers who have been involved in accidents.   He may be riding for a fall.</w:t>
                      </w:r>
                    </w:p>
                    <w:p w14:paraId="09DA030B" w14:textId="08672A88" w:rsidR="002A05F2" w:rsidRDefault="002A05F2" w:rsidP="00541CC8">
                      <w:pPr>
                        <w:autoSpaceDE w:val="0"/>
                        <w:autoSpaceDN w:val="0"/>
                        <w:adjustRightInd w:val="0"/>
                        <w:spacing w:before="60" w:after="120" w:line="240" w:lineRule="auto"/>
                        <w:rPr>
                          <w:rFonts w:ascii="Times New Roman" w:hAnsi="Times New Roman" w:cs="Times New Roman"/>
                        </w:rPr>
                      </w:pPr>
                      <w:r>
                        <w:rPr>
                          <w:rFonts w:ascii="Times New Roman" w:hAnsi="Times New Roman" w:cs="Times New Roman"/>
                        </w:rPr>
                        <w:t xml:space="preserve">He also may be right about his performance, and the industry cites a similar percentage:  </w:t>
                      </w:r>
                      <w:r w:rsidRPr="008F412A">
                        <w:rPr>
                          <w:rFonts w:ascii="Times New Roman" w:hAnsi="Times New Roman" w:cs="Times New Roman"/>
                          <w:i/>
                        </w:rPr>
                        <w:t>A barrel of crude oil or petroleum product shipped by pipeline safely reaches its destination more than 99.99% of the time.</w:t>
                      </w:r>
                      <w:r w:rsidRPr="008F412A">
                        <w:rPr>
                          <w:rFonts w:ascii="Times New Roman" w:hAnsi="Times New Roman" w:cs="Times New Roman"/>
                        </w:rPr>
                        <w:t xml:space="preserve">  (Source</w:t>
                      </w:r>
                      <w:r w:rsidR="00142AC8">
                        <w:rPr>
                          <w:rFonts w:ascii="Times New Roman" w:hAnsi="Times New Roman" w:cs="Times New Roman"/>
                        </w:rPr>
                        <w:t>:</w:t>
                      </w:r>
                      <w:r w:rsidRPr="008F412A">
                        <w:rPr>
                          <w:rFonts w:ascii="Times New Roman" w:hAnsi="Times New Roman" w:cs="Times New Roman"/>
                        </w:rPr>
                        <w:t xml:space="preserve"> </w:t>
                      </w:r>
                      <w:hyperlink r:id="rId10" w:history="1">
                        <w:r w:rsidRPr="00C74B2A">
                          <w:rPr>
                            <w:rStyle w:val="Hyperlink"/>
                            <w:rFonts w:ascii="Times New Roman" w:hAnsi="Times New Roman" w:cs="Times New Roman"/>
                          </w:rPr>
                          <w:t>https://energycitizens.org/wp-content/uploads/2017/02/API-EC-Infrastructure101-Final.pdf</w:t>
                        </w:r>
                      </w:hyperlink>
                      <w:r w:rsidRPr="008F412A">
                        <w:rPr>
                          <w:rFonts w:ascii="Times New Roman" w:hAnsi="Times New Roman" w:cs="Times New Roman"/>
                        </w:rPr>
                        <w:t>)</w:t>
                      </w:r>
                      <w:r>
                        <w:rPr>
                          <w:rFonts w:ascii="Times New Roman" w:hAnsi="Times New Roman" w:cs="Times New Roman"/>
                        </w:rPr>
                        <w:t xml:space="preserve">  </w:t>
                      </w:r>
                    </w:p>
                    <w:p w14:paraId="6D65503E" w14:textId="14D09C77" w:rsidR="002A05F2" w:rsidRPr="00852784" w:rsidRDefault="002A05F2" w:rsidP="00541CC8">
                      <w:pPr>
                        <w:shd w:val="clear" w:color="auto" w:fill="FFFFFF"/>
                        <w:spacing w:after="120" w:line="240" w:lineRule="auto"/>
                        <w:rPr>
                          <w:rFonts w:ascii="Times New Roman" w:eastAsia="Wawati TC Regular" w:hAnsi="Times New Roman" w:cs="Times New Roman"/>
                          <w:i/>
                          <w:color w:val="2C2D33"/>
                        </w:rPr>
                      </w:pPr>
                      <w:r w:rsidRPr="00852784">
                        <w:rPr>
                          <w:rFonts w:ascii="Times New Roman" w:eastAsia="Wawati TC Regular" w:hAnsi="Times New Roman" w:cs="Times New Roman"/>
                        </w:rPr>
                        <w:t xml:space="preserve">The natural gas industry also emphasizes safety: </w:t>
                      </w:r>
                      <w:r w:rsidRPr="00852784">
                        <w:rPr>
                          <w:rFonts w:ascii="Times New Roman" w:eastAsia="Wawati TC Regular" w:hAnsi="Times New Roman" w:cs="Times New Roman"/>
                          <w:i/>
                          <w:color w:val="2C2D33"/>
                        </w:rPr>
                        <w:t>The dedicated efforts of natural gas utilities over the past three decades have led to an approximately </w:t>
                      </w:r>
                      <w:r w:rsidRPr="00852784">
                        <w:rPr>
                          <w:rFonts w:ascii="Times New Roman" w:eastAsia="Wawati TC Regular" w:hAnsi="Times New Roman" w:cs="Times New Roman"/>
                          <w:bCs/>
                          <w:i/>
                          <w:color w:val="2C2D33"/>
                          <w:bdr w:val="none" w:sz="0" w:space="0" w:color="auto" w:frame="1"/>
                        </w:rPr>
                        <w:t>40 percent decline in pipeline incidents</w:t>
                      </w:r>
                      <w:r w:rsidRPr="00852784">
                        <w:rPr>
                          <w:rFonts w:ascii="Times New Roman" w:eastAsia="Wawati TC Regular" w:hAnsi="Times New Roman" w:cs="Times New Roman"/>
                          <w:i/>
                          <w:color w:val="2C2D33"/>
                        </w:rPr>
                        <w:t> over the past ten years.</w:t>
                      </w:r>
                      <w:r>
                        <w:rPr>
                          <w:rFonts w:ascii="Times New Roman" w:eastAsia="Wawati TC Regular" w:hAnsi="Times New Roman" w:cs="Times New Roman"/>
                          <w:i/>
                          <w:color w:val="2C2D33"/>
                        </w:rPr>
                        <w:t xml:space="preserve">  </w:t>
                      </w:r>
                      <w:r>
                        <w:rPr>
                          <w:rFonts w:ascii="Times New Roman" w:eastAsia="Wawati TC Regular" w:hAnsi="Times New Roman" w:cs="Times New Roman"/>
                          <w:color w:val="2C2D33"/>
                        </w:rPr>
                        <w:t xml:space="preserve">(Source: </w:t>
                      </w:r>
                      <w:hyperlink r:id="rId11" w:history="1">
                        <w:r w:rsidRPr="00C74B2A">
                          <w:rPr>
                            <w:rStyle w:val="Hyperlink"/>
                            <w:rFonts w:ascii="Times New Roman" w:eastAsia="Wawati TC Regular" w:hAnsi="Times New Roman" w:cs="Times New Roman"/>
                          </w:rPr>
                          <w:t>https://www.aga.org/fact-sheets/pipeline-safety</w:t>
                        </w:r>
                      </w:hyperlink>
                      <w:r>
                        <w:rPr>
                          <w:rFonts w:ascii="Times New Roman" w:eastAsia="Wawati TC Regular" w:hAnsi="Times New Roman" w:cs="Times New Roman"/>
                        </w:rPr>
                        <w:t xml:space="preserve">) </w:t>
                      </w:r>
                    </w:p>
                    <w:p w14:paraId="1B6B792B" w14:textId="3407851F" w:rsidR="002A05F2" w:rsidRDefault="002A05F2" w:rsidP="008A0286">
                      <w:pPr>
                        <w:autoSpaceDE w:val="0"/>
                        <w:autoSpaceDN w:val="0"/>
                        <w:adjustRightInd w:val="0"/>
                        <w:spacing w:before="60" w:after="120" w:line="240" w:lineRule="auto"/>
                        <w:rPr>
                          <w:rFonts w:ascii="Times New Roman" w:hAnsi="Times New Roman" w:cs="Times New Roman"/>
                        </w:rPr>
                      </w:pPr>
                      <w:r>
                        <w:rPr>
                          <w:rFonts w:ascii="Times New Roman" w:hAnsi="Times New Roman" w:cs="Times New Roman"/>
                        </w:rPr>
                        <w:t>Here’s my problem. Some pipeline accidents lead to deaths and injuries. That .01% of the time when barrels do not reach their destination has the potential to harm the public, pipeliners, the environment, and the pipeline infrastructure.  The probability may be low, but the consequences can be dire.  I have been a pipeliner since 1966, have made my share of operating errors, have responded to many spills, and have seen the results of pipeline accidents on people and their families and on companies.</w:t>
                      </w:r>
                    </w:p>
                    <w:p w14:paraId="723816CC" w14:textId="2719D0C8" w:rsidR="002A05F2" w:rsidRPr="00A77150" w:rsidRDefault="002A05F2" w:rsidP="00252A29">
                      <w:pPr>
                        <w:widowControl w:val="0"/>
                        <w:autoSpaceDE w:val="0"/>
                        <w:autoSpaceDN w:val="0"/>
                        <w:adjustRightInd w:val="0"/>
                        <w:spacing w:after="120" w:line="240" w:lineRule="auto"/>
                        <w:rPr>
                          <w:rFonts w:ascii="Times New Roman" w:hAnsi="Times New Roman" w:cs="Times New Roman"/>
                          <w:szCs w:val="24"/>
                        </w:rPr>
                      </w:pPr>
                      <w:r>
                        <w:rPr>
                          <w:rFonts w:ascii="Times New Roman" w:hAnsi="Times New Roman" w:cs="Times New Roman"/>
                        </w:rPr>
                        <w:t>I want CRM Plans and other programs to be sufficient for their purpose, and not deficient.   We are dedicated to that goal.  A starting point is to set a standard of sufficiency.  I was thinking last night that even some companies that have had pipeline accidents are still satisfied with minimal compliance when it comes to regulations.  That bothers me deeply; even keeps me awake some nights.</w:t>
                      </w:r>
                    </w:p>
                    <w:p w14:paraId="06B0E2BD" w14:textId="74A03858" w:rsidR="002A05F2" w:rsidRDefault="002A05F2" w:rsidP="00252A29">
                      <w:pPr>
                        <w:widowControl w:val="0"/>
                        <w:autoSpaceDE w:val="0"/>
                        <w:autoSpaceDN w:val="0"/>
                        <w:adjustRightInd w:val="0"/>
                        <w:spacing w:after="120" w:line="240" w:lineRule="auto"/>
                        <w:rPr>
                          <w:rFonts w:ascii="Times New Roman" w:hAnsi="Times New Roman" w:cs="Times New Roman"/>
                          <w:i/>
                          <w:szCs w:val="24"/>
                        </w:rPr>
                      </w:pPr>
                      <w:r>
                        <w:rPr>
                          <w:rFonts w:ascii="Times New Roman" w:hAnsi="Times New Roman" w:cs="Times New Roman"/>
                          <w:i/>
                          <w:szCs w:val="24"/>
                        </w:rPr>
                        <w:t xml:space="preserve">  </w:t>
                      </w:r>
                    </w:p>
                    <w:p w14:paraId="377A9169" w14:textId="77777777" w:rsidR="002A05F2" w:rsidRPr="00BD70AE" w:rsidRDefault="002A05F2" w:rsidP="00BD70AE">
                      <w:pPr>
                        <w:rPr>
                          <w:rFonts w:ascii="Times New Roman" w:hAnsi="Times New Roman" w:cs="Times New Roman"/>
                          <w:szCs w:val="24"/>
                        </w:rPr>
                      </w:pPr>
                    </w:p>
                    <w:p w14:paraId="11D01C08" w14:textId="77777777" w:rsidR="002A05F2" w:rsidRPr="00530478" w:rsidRDefault="002A05F2" w:rsidP="00530478">
                      <w:pPr>
                        <w:rPr>
                          <w:rFonts w:ascii="Times New Roman" w:hAnsi="Times New Roman" w:cs="Times New Roman"/>
                          <w:szCs w:val="24"/>
                        </w:rPr>
                      </w:pPr>
                    </w:p>
                    <w:p w14:paraId="28517E5F" w14:textId="42D71400" w:rsidR="002A05F2" w:rsidRDefault="002A05F2" w:rsidP="0093278B">
                      <w:pPr>
                        <w:rPr>
                          <w:rFonts w:ascii="Times New Roman" w:hAnsi="Times New Roman" w:cs="Times New Roman"/>
                          <w:szCs w:val="24"/>
                        </w:rPr>
                      </w:pPr>
                    </w:p>
                    <w:p w14:paraId="661A2B91" w14:textId="77777777" w:rsidR="002A05F2" w:rsidRDefault="002A05F2" w:rsidP="0093278B">
                      <w:pPr>
                        <w:rPr>
                          <w:rFonts w:ascii="Times New Roman" w:hAnsi="Times New Roman" w:cs="Times New Roman"/>
                          <w:szCs w:val="24"/>
                        </w:rPr>
                      </w:pPr>
                    </w:p>
                    <w:p w14:paraId="192505BC" w14:textId="77777777" w:rsidR="002A05F2" w:rsidRDefault="002A05F2" w:rsidP="0093278B">
                      <w:pPr>
                        <w:rPr>
                          <w:rFonts w:ascii="Times New Roman" w:hAnsi="Times New Roman" w:cs="Times New Roman"/>
                          <w:szCs w:val="24"/>
                        </w:rPr>
                      </w:pPr>
                    </w:p>
                    <w:p w14:paraId="16E2D73E" w14:textId="77777777" w:rsidR="002A05F2" w:rsidRDefault="002A05F2" w:rsidP="009E3731">
                      <w:pPr>
                        <w:spacing w:after="0" w:line="240" w:lineRule="auto"/>
                        <w:rPr>
                          <w:rFonts w:ascii="Times New Roman" w:eastAsia="Times New Roman" w:hAnsi="Times New Roman" w:cs="Times New Roman"/>
                          <w:b/>
                          <w:iCs/>
                          <w:color w:val="000000"/>
                          <w:sz w:val="24"/>
                          <w:szCs w:val="24"/>
                          <w:shd w:val="clear" w:color="auto" w:fill="F1F3F5"/>
                        </w:rPr>
                      </w:pPr>
                    </w:p>
                    <w:p w14:paraId="176816C1" w14:textId="77777777" w:rsidR="002A05F2" w:rsidRDefault="002A05F2" w:rsidP="009E3731">
                      <w:pPr>
                        <w:spacing w:after="0" w:line="240" w:lineRule="auto"/>
                        <w:rPr>
                          <w:rFonts w:ascii="Times New Roman" w:eastAsia="Times New Roman" w:hAnsi="Times New Roman" w:cs="Times New Roman"/>
                          <w:b/>
                          <w:iCs/>
                          <w:color w:val="000000"/>
                          <w:sz w:val="24"/>
                          <w:szCs w:val="24"/>
                          <w:shd w:val="clear" w:color="auto" w:fill="F1F3F5"/>
                        </w:rPr>
                      </w:pPr>
                    </w:p>
                    <w:p w14:paraId="0F3DAA8E" w14:textId="77777777" w:rsidR="002A05F2" w:rsidRDefault="002A05F2" w:rsidP="009E3731">
                      <w:pPr>
                        <w:spacing w:after="0" w:line="240" w:lineRule="auto"/>
                        <w:rPr>
                          <w:rFonts w:ascii="Times New Roman" w:eastAsia="Times New Roman" w:hAnsi="Times New Roman" w:cs="Times New Roman"/>
                          <w:b/>
                          <w:iCs/>
                          <w:color w:val="000000"/>
                          <w:sz w:val="24"/>
                          <w:szCs w:val="24"/>
                          <w:shd w:val="clear" w:color="auto" w:fill="F1F3F5"/>
                        </w:rPr>
                      </w:pPr>
                    </w:p>
                    <w:p w14:paraId="4BC4C527" w14:textId="77777777" w:rsidR="002A05F2" w:rsidRDefault="002A05F2" w:rsidP="009E3731">
                      <w:pPr>
                        <w:spacing w:after="0" w:line="240" w:lineRule="auto"/>
                        <w:rPr>
                          <w:rFonts w:ascii="Times New Roman" w:eastAsia="Times New Roman" w:hAnsi="Times New Roman" w:cs="Times New Roman"/>
                          <w:b/>
                          <w:iCs/>
                          <w:color w:val="000000"/>
                          <w:sz w:val="24"/>
                          <w:szCs w:val="24"/>
                          <w:shd w:val="clear" w:color="auto" w:fill="F1F3F5"/>
                        </w:rPr>
                      </w:pPr>
                    </w:p>
                    <w:p w14:paraId="56CC5284" w14:textId="77777777" w:rsidR="002A05F2" w:rsidRPr="00367440" w:rsidRDefault="002A05F2" w:rsidP="009E3731">
                      <w:pPr>
                        <w:spacing w:after="0" w:line="240" w:lineRule="auto"/>
                        <w:rPr>
                          <w:rFonts w:ascii="Times New Roman" w:eastAsia="Times New Roman" w:hAnsi="Times New Roman" w:cs="Times New Roman"/>
                          <w:b/>
                          <w:sz w:val="24"/>
                          <w:szCs w:val="24"/>
                        </w:rPr>
                      </w:pPr>
                    </w:p>
                    <w:p w14:paraId="0475C207" w14:textId="743BA148" w:rsidR="002A05F2" w:rsidRPr="00837DFE" w:rsidRDefault="002A05F2" w:rsidP="00837DFE">
                      <w:pPr>
                        <w:rPr>
                          <w:rFonts w:ascii="Times New Roman" w:hAnsi="Times New Roman" w:cs="Times New Roman"/>
                          <w:szCs w:val="24"/>
                        </w:rPr>
                      </w:pPr>
                    </w:p>
                    <w:p w14:paraId="0D674FCD" w14:textId="23F68545" w:rsidR="002A05F2" w:rsidRDefault="002A05F2" w:rsidP="007E17F4">
                      <w:pPr>
                        <w:spacing w:before="120"/>
                        <w:rPr>
                          <w:rFonts w:ascii="Times New Roman" w:hAnsi="Times New Roman" w:cs="Times New Roman"/>
                          <w:szCs w:val="24"/>
                        </w:rPr>
                      </w:pPr>
                    </w:p>
                    <w:p w14:paraId="25EEFFEE" w14:textId="77777777" w:rsidR="002A05F2" w:rsidRPr="0024724D" w:rsidRDefault="002A05F2" w:rsidP="00821177">
                      <w:pPr>
                        <w:pStyle w:val="ListParagraph"/>
                        <w:ind w:left="360"/>
                        <w:rPr>
                          <w:rFonts w:ascii="Times New Roman" w:hAnsi="Times New Roman" w:cs="Times New Roman"/>
                        </w:rPr>
                      </w:pPr>
                    </w:p>
                  </w:txbxContent>
                </v:textbox>
              </v:shape>
            </w:pict>
          </mc:Fallback>
        </mc:AlternateContent>
      </w:r>
      <w:r w:rsidR="003864A2">
        <w:rPr>
          <w:noProof/>
        </w:rPr>
        <mc:AlternateContent>
          <mc:Choice Requires="wps">
            <w:drawing>
              <wp:anchor distT="0" distB="0" distL="114300" distR="114300" simplePos="0" relativeHeight="251650560" behindDoc="0" locked="0" layoutInCell="1" allowOverlap="1" wp14:anchorId="1FAE46B7" wp14:editId="257D74FC">
                <wp:simplePos x="0" y="0"/>
                <wp:positionH relativeFrom="column">
                  <wp:posOffset>4489450</wp:posOffset>
                </wp:positionH>
                <wp:positionV relativeFrom="paragraph">
                  <wp:posOffset>-85725</wp:posOffset>
                </wp:positionV>
                <wp:extent cx="4381500" cy="6291580"/>
                <wp:effectExtent l="0" t="0" r="0" b="7620"/>
                <wp:wrapSquare wrapText="bothSides"/>
                <wp:docPr id="14" name="Text Box 14"/>
                <wp:cNvGraphicFramePr/>
                <a:graphic xmlns:a="http://schemas.openxmlformats.org/drawingml/2006/main">
                  <a:graphicData uri="http://schemas.microsoft.com/office/word/2010/wordprocessingShape">
                    <wps:wsp>
                      <wps:cNvSpPr txBox="1"/>
                      <wps:spPr>
                        <a:xfrm>
                          <a:off x="0" y="0"/>
                          <a:ext cx="4381500" cy="629158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D94B234" w14:textId="01055C60" w:rsidR="002A05F2" w:rsidRPr="00F60C59" w:rsidRDefault="002A05F2" w:rsidP="00E47C67">
                            <w:pPr>
                              <w:autoSpaceDE w:val="0"/>
                              <w:autoSpaceDN w:val="0"/>
                              <w:adjustRightInd w:val="0"/>
                              <w:spacing w:before="60" w:after="120" w:line="240" w:lineRule="auto"/>
                              <w:rPr>
                                <w:rFonts w:ascii="Times New Roman" w:hAnsi="Times New Roman" w:cs="Times New Roman"/>
                              </w:rPr>
                            </w:pPr>
                            <w:r>
                              <w:rPr>
                                <w:rFonts w:ascii="Times New Roman" w:hAnsi="Times New Roman" w:cs="Times New Roman"/>
                              </w:rPr>
                              <w:t xml:space="preserve">It is a philosophical issue.  Apply what the Stoic philosopher Epictetus said:  </w:t>
                            </w:r>
                            <w:r w:rsidRPr="00AB37DF">
                              <w:rPr>
                                <w:rFonts w:ascii="Times New Roman" w:hAnsi="Times New Roman" w:cs="Times New Roman"/>
                                <w:i/>
                              </w:rPr>
                              <w:t>First say to yourself what you would be; and then do what you have to do.</w:t>
                            </w:r>
                            <w:r>
                              <w:rPr>
                                <w:rFonts w:ascii="Times New Roman" w:hAnsi="Times New Roman" w:cs="Times New Roman"/>
                                <w:i/>
                              </w:rPr>
                              <w:t xml:space="preserve">  </w:t>
                            </w:r>
                            <w:r>
                              <w:rPr>
                                <w:rFonts w:ascii="Times New Roman" w:hAnsi="Times New Roman" w:cs="Times New Roman"/>
                              </w:rPr>
                              <w:t xml:space="preserve">What would your CRM program be if it were sufficient? What do you need to do to remove all deficiencies? </w:t>
                            </w:r>
                          </w:p>
                          <w:p w14:paraId="7B9ECFF2" w14:textId="45B58473" w:rsidR="002A05F2" w:rsidRDefault="002A05F2" w:rsidP="001F1D67">
                            <w:pPr>
                              <w:autoSpaceDE w:val="0"/>
                              <w:autoSpaceDN w:val="0"/>
                              <w:adjustRightInd w:val="0"/>
                              <w:spacing w:before="60" w:after="120" w:line="240" w:lineRule="auto"/>
                              <w:rPr>
                                <w:rFonts w:ascii="Times New Roman" w:hAnsi="Times New Roman" w:cs="Times New Roman"/>
                              </w:rPr>
                            </w:pPr>
                            <w:r>
                              <w:rPr>
                                <w:rFonts w:ascii="Times New Roman" w:hAnsi="Times New Roman" w:cs="Times New Roman"/>
                              </w:rPr>
                              <w:t xml:space="preserve">If I apply what Epictetus said, I would look at the CRM elements holistically and consider that a CRM program would be one that provided controllers and others with CRM responsibilities a clearly stated purpose that emphasized excellence in performance and results.  I would not be satisfied if one section had no deficiencies and other sections did.  </w:t>
                            </w:r>
                          </w:p>
                          <w:p w14:paraId="58464F8F" w14:textId="77777777" w:rsidR="002A05F2" w:rsidRDefault="002A05F2" w:rsidP="001F1D67">
                            <w:pPr>
                              <w:autoSpaceDE w:val="0"/>
                              <w:autoSpaceDN w:val="0"/>
                              <w:adjustRightInd w:val="0"/>
                              <w:spacing w:before="60" w:after="120" w:line="240" w:lineRule="auto"/>
                              <w:rPr>
                                <w:rFonts w:ascii="Times New Roman" w:hAnsi="Times New Roman" w:cs="Times New Roman"/>
                              </w:rPr>
                            </w:pPr>
                            <w:r>
                              <w:rPr>
                                <w:rFonts w:ascii="Times New Roman" w:hAnsi="Times New Roman" w:cs="Times New Roman"/>
                              </w:rPr>
                              <w:t xml:space="preserve">Although we look at each section separately, they all should be connected by a common purpose, as we illustrate during CRM training.  Consider this example we are using in control room team training.  A non-technical skill that human beings need to practice in control rooms is situation awareness.  We need adequate information in order to perceive, comprehend, process, and project what that information is telling us so we can make decisions and take appropriate actions. Our situation awareness capacity can be affected by fatigue, stress, noises, interruptions, distractions, inadequate or conflicting information, poor communication about changes, terrible SCADA displays, poor alarm systems, failure to learn from past experiences, and lack of competence.  </w:t>
                            </w:r>
                          </w:p>
                          <w:p w14:paraId="319F7924" w14:textId="06CDA941" w:rsidR="002A05F2" w:rsidRDefault="002A05F2" w:rsidP="001F1D67">
                            <w:pPr>
                              <w:autoSpaceDE w:val="0"/>
                              <w:autoSpaceDN w:val="0"/>
                              <w:adjustRightInd w:val="0"/>
                              <w:spacing w:before="60" w:after="120" w:line="240" w:lineRule="auto"/>
                              <w:rPr>
                                <w:rFonts w:ascii="Times New Roman" w:hAnsi="Times New Roman" w:cs="Times New Roman"/>
                              </w:rPr>
                            </w:pPr>
                            <w:r>
                              <w:rPr>
                                <w:rFonts w:ascii="Times New Roman" w:hAnsi="Times New Roman" w:cs="Times New Roman"/>
                              </w:rPr>
                              <w:t>A sufficient CRM program would address those items that affect our non-technical skills.  Do what you have to do to increase sufficiency.</w:t>
                            </w:r>
                          </w:p>
                          <w:p w14:paraId="042579DA" w14:textId="408208D5" w:rsidR="002A05F2" w:rsidRPr="007B74EE" w:rsidRDefault="002A05F2" w:rsidP="008249E2">
                            <w:pPr>
                              <w:spacing w:after="60"/>
                              <w:rPr>
                                <w:rFonts w:ascii="Times New Roman" w:hAnsi="Times New Roman" w:cs="Times New Roman"/>
                              </w:rPr>
                            </w:pPr>
                            <w:r w:rsidRPr="00C82FA7">
                              <w:rPr>
                                <w:rFonts w:ascii="Times New Roman" w:hAnsi="Times New Roman" w:cs="Times New Roman"/>
                                <w:noProof/>
                              </w:rPr>
                              <w:drawing>
                                <wp:inline distT="0" distB="0" distL="0" distR="0" wp14:anchorId="5799A679" wp14:editId="0916FABB">
                                  <wp:extent cx="4076700" cy="2131060"/>
                                  <wp:effectExtent l="19050" t="19050" r="38100" b="2159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AE46B7" id="Text Box 14" o:spid="_x0000_s1027" type="#_x0000_t202" style="position:absolute;margin-left:353.5pt;margin-top:-6.75pt;width:345pt;height:495.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" filled="f" stroked="f">
                <v:textbox>
                  <w:txbxContent>
                    <w:p w14:paraId="2D94B234" w14:textId="01055C60" w:rsidR="002A05F2" w:rsidRPr="00F60C59" w:rsidRDefault="002A05F2" w:rsidP="00E47C67">
                      <w:pPr>
                        <w:autoSpaceDE w:val="0"/>
                        <w:autoSpaceDN w:val="0"/>
                        <w:adjustRightInd w:val="0"/>
                        <w:spacing w:before="60" w:after="120" w:line="240" w:lineRule="auto"/>
                        <w:rPr>
                          <w:rFonts w:ascii="Times New Roman" w:hAnsi="Times New Roman" w:cs="Times New Roman"/>
                        </w:rPr>
                      </w:pPr>
                      <w:r>
                        <w:rPr>
                          <w:rFonts w:ascii="Times New Roman" w:hAnsi="Times New Roman" w:cs="Times New Roman"/>
                        </w:rPr>
                        <w:t xml:space="preserve">It is a philosophical issue.  Apply what the Stoic philosopher Epictetus said:  </w:t>
                      </w:r>
                      <w:r w:rsidRPr="00AB37DF">
                        <w:rPr>
                          <w:rFonts w:ascii="Times New Roman" w:hAnsi="Times New Roman" w:cs="Times New Roman"/>
                          <w:i/>
                        </w:rPr>
                        <w:t>First say to yourself what you would be; and then do what you have to do.</w:t>
                      </w:r>
                      <w:r>
                        <w:rPr>
                          <w:rFonts w:ascii="Times New Roman" w:hAnsi="Times New Roman" w:cs="Times New Roman"/>
                          <w:i/>
                        </w:rPr>
                        <w:t xml:space="preserve">  </w:t>
                      </w:r>
                      <w:r>
                        <w:rPr>
                          <w:rFonts w:ascii="Times New Roman" w:hAnsi="Times New Roman" w:cs="Times New Roman"/>
                        </w:rPr>
                        <w:t xml:space="preserve">What would your CRM program be if it were sufficient? What do you need to do to remove all deficiencies? </w:t>
                      </w:r>
                    </w:p>
                    <w:p w14:paraId="7B9ECFF2" w14:textId="45B58473" w:rsidR="002A05F2" w:rsidRDefault="002A05F2" w:rsidP="001F1D67">
                      <w:pPr>
                        <w:autoSpaceDE w:val="0"/>
                        <w:autoSpaceDN w:val="0"/>
                        <w:adjustRightInd w:val="0"/>
                        <w:spacing w:before="60" w:after="120" w:line="240" w:lineRule="auto"/>
                        <w:rPr>
                          <w:rFonts w:ascii="Times New Roman" w:hAnsi="Times New Roman" w:cs="Times New Roman"/>
                        </w:rPr>
                      </w:pPr>
                      <w:r>
                        <w:rPr>
                          <w:rFonts w:ascii="Times New Roman" w:hAnsi="Times New Roman" w:cs="Times New Roman"/>
                        </w:rPr>
                        <w:t xml:space="preserve">If I apply what Epictetus said, I would look at the CRM elements holistically and consider that a CRM program would be one that provided controllers and others with CRM responsibilities a clearly stated purpose that emphasized excellence in performance and results.  I would not be satisfied if one section had no deficiencies and other sections did.  </w:t>
                      </w:r>
                    </w:p>
                    <w:p w14:paraId="58464F8F" w14:textId="77777777" w:rsidR="002A05F2" w:rsidRDefault="002A05F2" w:rsidP="001F1D67">
                      <w:pPr>
                        <w:autoSpaceDE w:val="0"/>
                        <w:autoSpaceDN w:val="0"/>
                        <w:adjustRightInd w:val="0"/>
                        <w:spacing w:before="60" w:after="120" w:line="240" w:lineRule="auto"/>
                        <w:rPr>
                          <w:rFonts w:ascii="Times New Roman" w:hAnsi="Times New Roman" w:cs="Times New Roman"/>
                        </w:rPr>
                      </w:pPr>
                      <w:r>
                        <w:rPr>
                          <w:rFonts w:ascii="Times New Roman" w:hAnsi="Times New Roman" w:cs="Times New Roman"/>
                        </w:rPr>
                        <w:t xml:space="preserve">Although we look at each section separately, they all should be connected by a common purpose, as we illustrate during CRM training.  Consider this example we are using in control room team training.  A non-technical skill that human beings need to practice in control rooms is situation awareness.  We need adequate information in order to perceive, comprehend, process, and project what that information is telling us so we can make decisions and take appropriate actions. Our situation awareness capacity can be affected by fatigue, stress, noises, interruptions, distractions, inadequate or conflicting information, poor communication about changes, terrible SCADA displays, poor alarm systems, failure to learn from past experiences, and lack of competence.  </w:t>
                      </w:r>
                    </w:p>
                    <w:p w14:paraId="319F7924" w14:textId="06CDA941" w:rsidR="002A05F2" w:rsidRDefault="002A05F2" w:rsidP="001F1D67">
                      <w:pPr>
                        <w:autoSpaceDE w:val="0"/>
                        <w:autoSpaceDN w:val="0"/>
                        <w:adjustRightInd w:val="0"/>
                        <w:spacing w:before="60" w:after="120" w:line="240" w:lineRule="auto"/>
                        <w:rPr>
                          <w:rFonts w:ascii="Times New Roman" w:hAnsi="Times New Roman" w:cs="Times New Roman"/>
                        </w:rPr>
                      </w:pPr>
                      <w:r>
                        <w:rPr>
                          <w:rFonts w:ascii="Times New Roman" w:hAnsi="Times New Roman" w:cs="Times New Roman"/>
                        </w:rPr>
                        <w:t>A sufficient CRM program would address those items that affect our non-technical skills.  Do what you have to do to increase sufficiency.</w:t>
                      </w:r>
                    </w:p>
                    <w:p w14:paraId="042579DA" w14:textId="408208D5" w:rsidR="002A05F2" w:rsidRPr="007B74EE" w:rsidRDefault="002A05F2" w:rsidP="008249E2">
                      <w:pPr>
                        <w:spacing w:after="60"/>
                        <w:rPr>
                          <w:rFonts w:ascii="Times New Roman" w:hAnsi="Times New Roman" w:cs="Times New Roman"/>
                        </w:rPr>
                      </w:pPr>
                      <w:r w:rsidRPr="00C82FA7">
                        <w:rPr>
                          <w:rFonts w:ascii="Times New Roman" w:hAnsi="Times New Roman" w:cs="Times New Roman"/>
                          <w:noProof/>
                        </w:rPr>
                        <w:drawing>
                          <wp:inline distT="0" distB="0" distL="0" distR="0" wp14:anchorId="5799A679" wp14:editId="0916FABB">
                            <wp:extent cx="4076700" cy="2131060"/>
                            <wp:effectExtent l="19050" t="19050" r="38100" b="2159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3" r:qs="rId14" r:cs="rId15"/>
                              </a:graphicData>
                            </a:graphic>
                          </wp:inline>
                        </w:drawing>
                      </w:r>
                    </w:p>
                  </w:txbxContent>
                </v:textbox>
                <w10:wrap type="square"/>
              </v:shape>
            </w:pict>
          </mc:Fallback>
        </mc:AlternateContent>
      </w:r>
      <w:r w:rsidR="00120FCD">
        <w:rPr>
          <w:noProof/>
        </w:rPr>
        <mc:AlternateContent>
          <mc:Choice Requires="wps">
            <w:drawing>
              <wp:anchor distT="0" distB="0" distL="114300" distR="114300" simplePos="0" relativeHeight="251651584" behindDoc="0" locked="0" layoutInCell="1" allowOverlap="1" wp14:anchorId="78B0C2C2" wp14:editId="7A2ACF9E">
                <wp:simplePos x="0" y="0"/>
                <wp:positionH relativeFrom="column">
                  <wp:posOffset>2416175</wp:posOffset>
                </wp:positionH>
                <wp:positionV relativeFrom="paragraph">
                  <wp:posOffset>-833755</wp:posOffset>
                </wp:positionV>
                <wp:extent cx="6693958" cy="79057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3958" cy="790575"/>
                        </a:xfrm>
                        <a:prstGeom prst="rect">
                          <a:avLst/>
                        </a:prstGeom>
                        <a:noFill/>
                        <a:ln w="9525">
                          <a:noFill/>
                          <a:miter lim="800000"/>
                          <a:headEnd/>
                          <a:tailEnd/>
                        </a:ln>
                      </wps:spPr>
                      <wps:txbx>
                        <w:txbxContent>
                          <w:p w14:paraId="30B497B5" w14:textId="4F9B8D03" w:rsidR="002A05F2" w:rsidRPr="007357D1" w:rsidRDefault="002A05F2" w:rsidP="007357D1">
                            <w:pPr>
                              <w:jc w:val="right"/>
                              <w:rPr>
                                <w:rFonts w:ascii="Arial" w:hAnsi="Arial" w:cs="Arial"/>
                                <w:b/>
                                <w:color w:val="FFFFFF" w:themeColor="background1"/>
                                <w:sz w:val="96"/>
                              </w:rPr>
                            </w:pPr>
                            <w:r>
                              <w:rPr>
                                <w:rFonts w:ascii="Arial" w:hAnsi="Arial" w:cs="Arial"/>
                                <w:b/>
                                <w:color w:val="FFFFFF" w:themeColor="background1"/>
                                <w:sz w:val="96"/>
                              </w:rPr>
                              <w:t>SEPTEMBER 2017</w:t>
                            </w:r>
                          </w:p>
                          <w:p w14:paraId="1B2CD917" w14:textId="77777777" w:rsidR="002A05F2" w:rsidRPr="007357D1" w:rsidRDefault="002A05F2" w:rsidP="007357D1">
                            <w:pPr>
                              <w:jc w:val="right"/>
                              <w:rPr>
                                <w:rFonts w:ascii="Arial" w:hAnsi="Arial" w:cs="Arial"/>
                                <w:b/>
                                <w:color w:val="FFFFFF" w:themeColor="background1"/>
                                <w:sz w:val="9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B0C2C2" id="Text Box 2" o:spid="_x0000_s1028" type="#_x0000_t202" style="position:absolute;margin-left:190.25pt;margin-top:-65.65pt;width:527.1pt;height:62.2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" filled="f" stroked="f">
                <v:textbox>
                  <w:txbxContent>
                    <w:p w14:paraId="30B497B5" w14:textId="4F9B8D03" w:rsidR="002A05F2" w:rsidRPr="007357D1" w:rsidRDefault="002A05F2" w:rsidP="007357D1">
                      <w:pPr>
                        <w:jc w:val="right"/>
                        <w:rPr>
                          <w:rFonts w:ascii="Arial" w:hAnsi="Arial" w:cs="Arial"/>
                          <w:b/>
                          <w:color w:val="FFFFFF" w:themeColor="background1"/>
                          <w:sz w:val="96"/>
                        </w:rPr>
                      </w:pPr>
                      <w:r>
                        <w:rPr>
                          <w:rFonts w:ascii="Arial" w:hAnsi="Arial" w:cs="Arial"/>
                          <w:b/>
                          <w:color w:val="FFFFFF" w:themeColor="background1"/>
                          <w:sz w:val="96"/>
                        </w:rPr>
                        <w:t>SEPTEMBER 2017</w:t>
                      </w:r>
                    </w:p>
                    <w:p w14:paraId="1B2CD917" w14:textId="77777777" w:rsidR="002A05F2" w:rsidRPr="007357D1" w:rsidRDefault="002A05F2" w:rsidP="007357D1">
                      <w:pPr>
                        <w:jc w:val="right"/>
                        <w:rPr>
                          <w:rFonts w:ascii="Arial" w:hAnsi="Arial" w:cs="Arial"/>
                          <w:b/>
                          <w:color w:val="FFFFFF" w:themeColor="background1"/>
                          <w:sz w:val="96"/>
                        </w:rPr>
                      </w:pPr>
                    </w:p>
                  </w:txbxContent>
                </v:textbox>
              </v:shape>
            </w:pict>
          </mc:Fallback>
        </mc:AlternateContent>
      </w:r>
      <w:r w:rsidR="002B381B">
        <w:rPr>
          <w:noProof/>
        </w:rPr>
        <mc:AlternateContent>
          <mc:Choice Requires="wps">
            <w:drawing>
              <wp:anchor distT="0" distB="0" distL="114300" distR="114300" simplePos="0" relativeHeight="251649536" behindDoc="0" locked="0" layoutInCell="1" allowOverlap="1" wp14:anchorId="31028DA1" wp14:editId="0154551C">
                <wp:simplePos x="0" y="0"/>
                <wp:positionH relativeFrom="column">
                  <wp:posOffset>-1320801</wp:posOffset>
                </wp:positionH>
                <wp:positionV relativeFrom="paragraph">
                  <wp:posOffset>-1176655</wp:posOffset>
                </wp:positionV>
                <wp:extent cx="10447867" cy="948055"/>
                <wp:effectExtent l="0" t="0" r="17145" b="17145"/>
                <wp:wrapNone/>
                <wp:docPr id="6" name="Rectangle 6"/>
                <wp:cNvGraphicFramePr/>
                <a:graphic xmlns:a="http://schemas.openxmlformats.org/drawingml/2006/main">
                  <a:graphicData uri="http://schemas.microsoft.com/office/word/2010/wordprocessingShape">
                    <wps:wsp>
                      <wps:cNvSpPr/>
                      <wps:spPr>
                        <a:xfrm>
                          <a:off x="0" y="0"/>
                          <a:ext cx="10447867" cy="948055"/>
                        </a:xfrm>
                        <a:prstGeom prst="rect">
                          <a:avLst/>
                        </a:prstGeom>
                        <a:solidFill>
                          <a:srgbClr val="0164E6"/>
                        </a:solidFill>
                        <a:ln>
                          <a:solidFill>
                            <a:srgbClr val="0164E6"/>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C00812B" id="Rectangle 6" o:spid="_x0000_s1026" style="position:absolute;margin-left:-104pt;margin-top:-92.65pt;width:822.65pt;height:74.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" fillcolor="#0164e6" strokecolor="#0164e6" strokeweight="2pt"/>
            </w:pict>
          </mc:Fallback>
        </mc:AlternateContent>
      </w:r>
      <w:r w:rsidR="00C93449">
        <w:rPr>
          <w:noProof/>
        </w:rPr>
        <mc:AlternateContent>
          <mc:Choice Requires="wps">
            <w:drawing>
              <wp:anchor distT="0" distB="0" distL="114300" distR="114300" simplePos="0" relativeHeight="251659776" behindDoc="0" locked="0" layoutInCell="1" allowOverlap="1" wp14:anchorId="397C712E" wp14:editId="26F29CDB">
                <wp:simplePos x="0" y="0"/>
                <wp:positionH relativeFrom="column">
                  <wp:posOffset>-914400</wp:posOffset>
                </wp:positionH>
                <wp:positionV relativeFrom="paragraph">
                  <wp:posOffset>-212090</wp:posOffset>
                </wp:positionV>
                <wp:extent cx="10059670" cy="104775"/>
                <wp:effectExtent l="0" t="0" r="0" b="0"/>
                <wp:wrapNone/>
                <wp:docPr id="8" name="Rectangle 8"/>
                <wp:cNvGraphicFramePr/>
                <a:graphic xmlns:a="http://schemas.openxmlformats.org/drawingml/2006/main">
                  <a:graphicData uri="http://schemas.microsoft.com/office/word/2010/wordprocessingShape">
                    <wps:wsp>
                      <wps:cNvSpPr/>
                      <wps:spPr>
                        <a:xfrm>
                          <a:off x="0" y="0"/>
                          <a:ext cx="10059670" cy="104775"/>
                        </a:xfrm>
                        <a:prstGeom prst="rect">
                          <a:avLst/>
                        </a:prstGeom>
                        <a:gradFill>
                          <a:gsLst>
                            <a:gs pos="17000">
                              <a:srgbClr val="848484"/>
                            </a:gs>
                            <a:gs pos="100000">
                              <a:schemeClr val="bg1"/>
                            </a:gs>
                          </a:gsLst>
                          <a:lin ang="1080000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EDF682C" id="Rectangle 8" o:spid="_x0000_s1026" style="position:absolute;margin-left:-1in;margin-top:-16.7pt;width:792.1pt;height:8.25pt;z-index:2516597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" fillcolor="#848484" stroked="f" strokeweight="2pt">
                <v:fill color2="white [3212]" angle="270" colors="0 #848484;11141f #848484" focus="100%" type="gradient">
                  <o:fill v:ext="view" type="gradientUnscaled"/>
                </v:fill>
              </v:rect>
            </w:pict>
          </mc:Fallback>
        </mc:AlternateContent>
      </w:r>
      <w:r w:rsidR="00C93449" w:rsidRPr="00C93449">
        <w:t xml:space="preserve"> </w:t>
      </w:r>
    </w:p>
    <w:p w14:paraId="0E0EB7A2" w14:textId="67C3D746" w:rsidR="004847EF" w:rsidRDefault="004847EF"/>
    <w:sectPr w:rsidR="004847EF" w:rsidSect="002A05F2">
      <w:footerReference w:type="default" r:id="rId18"/>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6E6100" w14:textId="77777777" w:rsidR="002858E0" w:rsidRDefault="002858E0" w:rsidP="00521B64">
      <w:pPr>
        <w:spacing w:after="0" w:line="240" w:lineRule="auto"/>
      </w:pPr>
      <w:r>
        <w:separator/>
      </w:r>
    </w:p>
  </w:endnote>
  <w:endnote w:type="continuationSeparator" w:id="0">
    <w:p w14:paraId="38BF377C" w14:textId="77777777" w:rsidR="002858E0" w:rsidRDefault="002858E0" w:rsidP="00521B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auto"/>
    <w:pitch w:val="variable"/>
    <w:sig w:usb0="E1002A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Wawati TC Regular">
    <w:charset w:val="00"/>
    <w:family w:val="auto"/>
    <w:pitch w:val="variable"/>
    <w:sig w:usb0="A00000FF" w:usb1="5889787B" w:usb2="00000016" w:usb3="00000000" w:csb0="00100003" w:csb1="00000000"/>
  </w:font>
  <w:font w:name="MS Mincho">
    <w:altName w:val="ＭＳ 明朝"/>
    <w:panose1 w:val="020206090402050803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E377F" w14:textId="75F9A0DB" w:rsidR="002A05F2" w:rsidRDefault="002A05F2">
    <w:pPr>
      <w:pStyle w:val="Footer"/>
    </w:pPr>
    <w:r>
      <w:rPr>
        <w:noProof/>
      </w:rPr>
      <w:drawing>
        <wp:anchor distT="0" distB="0" distL="114300" distR="114300" simplePos="0" relativeHeight="251658240" behindDoc="0" locked="0" layoutInCell="1" allowOverlap="1" wp14:anchorId="57215DD2" wp14:editId="6A751CA6">
          <wp:simplePos x="0" y="0"/>
          <wp:positionH relativeFrom="column">
            <wp:posOffset>-469557</wp:posOffset>
          </wp:positionH>
          <wp:positionV relativeFrom="paragraph">
            <wp:posOffset>-174625</wp:posOffset>
          </wp:positionV>
          <wp:extent cx="1853514" cy="443214"/>
          <wp:effectExtent l="0" t="0" r="0" b="0"/>
          <wp:wrapThrough wrapText="bothSides">
            <wp:wrapPolygon edited="0">
              <wp:start x="0" y="0"/>
              <wp:lineTo x="0" y="20453"/>
              <wp:lineTo x="21319" y="20453"/>
              <wp:lineTo x="21319"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NAL-ppgroup logo.JPG"/>
                  <pic:cNvPicPr/>
                </pic:nvPicPr>
                <pic:blipFill>
                  <a:blip r:embed="rId1" cstate="screen">
                    <a:extLst>
                      <a:ext uri="{28A0092B-C50C-407E-A947-70E740481C1C}">
                        <a14:useLocalDpi xmlns:a14="http://schemas.microsoft.com/office/drawing/2010/main"/>
                      </a:ext>
                    </a:extLst>
                  </a:blip>
                  <a:stretch>
                    <a:fillRect/>
                  </a:stretch>
                </pic:blipFill>
                <pic:spPr>
                  <a:xfrm>
                    <a:off x="0" y="0"/>
                    <a:ext cx="1853514" cy="443214"/>
                  </a:xfrm>
                  <a:prstGeom prst="rect">
                    <a:avLst/>
                  </a:prstGeom>
                </pic:spPr>
              </pic:pic>
            </a:graphicData>
          </a:graphic>
          <wp14:sizeRelH relativeFrom="page">
            <wp14:pctWidth>0</wp14:pctWidth>
          </wp14:sizeRelH>
          <wp14:sizeRelV relativeFrom="page">
            <wp14:pctHeight>0</wp14:pctHeight>
          </wp14:sizeRelV>
        </wp:anchor>
      </w:drawing>
    </w:r>
    <w:r>
      <w:t xml:space="preserve">                                                    CONTROL ROOM MANAGEMENT</w:t>
    </w:r>
    <w:r w:rsidRPr="00521B64">
      <w:t xml:space="preserve"> EDUCATIONAL PROGRAM </w:t>
    </w:r>
    <w:r>
      <w:t xml:space="preserve"> |</w:t>
    </w:r>
    <w:r w:rsidRPr="00521B64">
      <w:t xml:space="preserve"> Charles Alday © 201</w:t>
    </w:r>
    <w:r>
      <w:t>7</w:t>
    </w:r>
    <w:r w:rsidRPr="00521B64">
      <w:t xml:space="preserve"> Please Distribute to Others.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BDFE6" w14:textId="77777777" w:rsidR="002858E0" w:rsidRDefault="002858E0" w:rsidP="00521B64">
      <w:pPr>
        <w:spacing w:after="0" w:line="240" w:lineRule="auto"/>
      </w:pPr>
      <w:r>
        <w:separator/>
      </w:r>
    </w:p>
  </w:footnote>
  <w:footnote w:type="continuationSeparator" w:id="0">
    <w:p w14:paraId="27657C72" w14:textId="77777777" w:rsidR="002858E0" w:rsidRDefault="002858E0" w:rsidP="00521B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6460A"/>
    <w:multiLevelType w:val="hybridMultilevel"/>
    <w:tmpl w:val="8640A9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3335D92"/>
    <w:multiLevelType w:val="hybridMultilevel"/>
    <w:tmpl w:val="0240D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F07597"/>
    <w:multiLevelType w:val="hybridMultilevel"/>
    <w:tmpl w:val="FA82EC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A551B24"/>
    <w:multiLevelType w:val="multilevel"/>
    <w:tmpl w:val="8B9C7DE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 w15:restartNumberingAfterBreak="0">
    <w:nsid w:val="123243A5"/>
    <w:multiLevelType w:val="multilevel"/>
    <w:tmpl w:val="89889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2D6239"/>
    <w:multiLevelType w:val="multilevel"/>
    <w:tmpl w:val="8316619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15:restartNumberingAfterBreak="0">
    <w:nsid w:val="16CB1EF5"/>
    <w:multiLevelType w:val="multilevel"/>
    <w:tmpl w:val="BA864B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7E56A9F"/>
    <w:multiLevelType w:val="hybridMultilevel"/>
    <w:tmpl w:val="5C2200D8"/>
    <w:lvl w:ilvl="0" w:tplc="0E5893B8">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245248"/>
    <w:multiLevelType w:val="hybridMultilevel"/>
    <w:tmpl w:val="814EF4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225122FF"/>
    <w:multiLevelType w:val="hybridMultilevel"/>
    <w:tmpl w:val="290032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BE8239D"/>
    <w:multiLevelType w:val="hybridMultilevel"/>
    <w:tmpl w:val="CC485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3127D71"/>
    <w:multiLevelType w:val="hybridMultilevel"/>
    <w:tmpl w:val="BCE657F0"/>
    <w:lvl w:ilvl="0" w:tplc="69BA8710">
      <w:start w:val="1"/>
      <w:numFmt w:val="decimal"/>
      <w:lvlText w:val="(%1)"/>
      <w:lvlJc w:val="left"/>
      <w:pPr>
        <w:ind w:left="360" w:hanging="360"/>
      </w:pPr>
      <w:rPr>
        <w:rFonts w:cs="Times New Roman" w:hint="default"/>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15:restartNumberingAfterBreak="0">
    <w:nsid w:val="33C07DD3"/>
    <w:multiLevelType w:val="hybridMultilevel"/>
    <w:tmpl w:val="C9E4C3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37363EE6"/>
    <w:multiLevelType w:val="multilevel"/>
    <w:tmpl w:val="798C85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BD056A2"/>
    <w:multiLevelType w:val="multilevel"/>
    <w:tmpl w:val="A36A9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CFF491B"/>
    <w:multiLevelType w:val="multilevel"/>
    <w:tmpl w:val="CB10DD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D21512E"/>
    <w:multiLevelType w:val="hybridMultilevel"/>
    <w:tmpl w:val="EC3E84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0373B48"/>
    <w:multiLevelType w:val="hybridMultilevel"/>
    <w:tmpl w:val="032285AE"/>
    <w:lvl w:ilvl="0" w:tplc="F104AD9E">
      <w:start w:val="1"/>
      <w:numFmt w:val="bullet"/>
      <w:lvlText w:val=""/>
      <w:lvlJc w:val="left"/>
      <w:pPr>
        <w:tabs>
          <w:tab w:val="num" w:pos="360"/>
        </w:tabs>
        <w:ind w:left="360" w:hanging="360"/>
      </w:pPr>
      <w:rPr>
        <w:rFonts w:ascii="Wingdings" w:hAnsi="Wingdings" w:hint="default"/>
      </w:rPr>
    </w:lvl>
    <w:lvl w:ilvl="1" w:tplc="084CB9C2" w:tentative="1">
      <w:start w:val="1"/>
      <w:numFmt w:val="bullet"/>
      <w:lvlText w:val=""/>
      <w:lvlJc w:val="left"/>
      <w:pPr>
        <w:tabs>
          <w:tab w:val="num" w:pos="1080"/>
        </w:tabs>
        <w:ind w:left="1080" w:hanging="360"/>
      </w:pPr>
      <w:rPr>
        <w:rFonts w:ascii="Wingdings" w:hAnsi="Wingdings" w:hint="default"/>
      </w:rPr>
    </w:lvl>
    <w:lvl w:ilvl="2" w:tplc="C9F0A3CC" w:tentative="1">
      <w:start w:val="1"/>
      <w:numFmt w:val="bullet"/>
      <w:lvlText w:val=""/>
      <w:lvlJc w:val="left"/>
      <w:pPr>
        <w:tabs>
          <w:tab w:val="num" w:pos="1800"/>
        </w:tabs>
        <w:ind w:left="1800" w:hanging="360"/>
      </w:pPr>
      <w:rPr>
        <w:rFonts w:ascii="Wingdings" w:hAnsi="Wingdings" w:hint="default"/>
      </w:rPr>
    </w:lvl>
    <w:lvl w:ilvl="3" w:tplc="59D2607C" w:tentative="1">
      <w:start w:val="1"/>
      <w:numFmt w:val="bullet"/>
      <w:lvlText w:val=""/>
      <w:lvlJc w:val="left"/>
      <w:pPr>
        <w:tabs>
          <w:tab w:val="num" w:pos="2520"/>
        </w:tabs>
        <w:ind w:left="2520" w:hanging="360"/>
      </w:pPr>
      <w:rPr>
        <w:rFonts w:ascii="Wingdings" w:hAnsi="Wingdings" w:hint="default"/>
      </w:rPr>
    </w:lvl>
    <w:lvl w:ilvl="4" w:tplc="05481DFA" w:tentative="1">
      <w:start w:val="1"/>
      <w:numFmt w:val="bullet"/>
      <w:lvlText w:val=""/>
      <w:lvlJc w:val="left"/>
      <w:pPr>
        <w:tabs>
          <w:tab w:val="num" w:pos="3240"/>
        </w:tabs>
        <w:ind w:left="3240" w:hanging="360"/>
      </w:pPr>
      <w:rPr>
        <w:rFonts w:ascii="Wingdings" w:hAnsi="Wingdings" w:hint="default"/>
      </w:rPr>
    </w:lvl>
    <w:lvl w:ilvl="5" w:tplc="625823B6" w:tentative="1">
      <w:start w:val="1"/>
      <w:numFmt w:val="bullet"/>
      <w:lvlText w:val=""/>
      <w:lvlJc w:val="left"/>
      <w:pPr>
        <w:tabs>
          <w:tab w:val="num" w:pos="3960"/>
        </w:tabs>
        <w:ind w:left="3960" w:hanging="360"/>
      </w:pPr>
      <w:rPr>
        <w:rFonts w:ascii="Wingdings" w:hAnsi="Wingdings" w:hint="default"/>
      </w:rPr>
    </w:lvl>
    <w:lvl w:ilvl="6" w:tplc="3E14FEB6" w:tentative="1">
      <w:start w:val="1"/>
      <w:numFmt w:val="bullet"/>
      <w:lvlText w:val=""/>
      <w:lvlJc w:val="left"/>
      <w:pPr>
        <w:tabs>
          <w:tab w:val="num" w:pos="4680"/>
        </w:tabs>
        <w:ind w:left="4680" w:hanging="360"/>
      </w:pPr>
      <w:rPr>
        <w:rFonts w:ascii="Wingdings" w:hAnsi="Wingdings" w:hint="default"/>
      </w:rPr>
    </w:lvl>
    <w:lvl w:ilvl="7" w:tplc="15CA61C6" w:tentative="1">
      <w:start w:val="1"/>
      <w:numFmt w:val="bullet"/>
      <w:lvlText w:val=""/>
      <w:lvlJc w:val="left"/>
      <w:pPr>
        <w:tabs>
          <w:tab w:val="num" w:pos="5400"/>
        </w:tabs>
        <w:ind w:left="5400" w:hanging="360"/>
      </w:pPr>
      <w:rPr>
        <w:rFonts w:ascii="Wingdings" w:hAnsi="Wingdings" w:hint="default"/>
      </w:rPr>
    </w:lvl>
    <w:lvl w:ilvl="8" w:tplc="68760202"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048400B"/>
    <w:multiLevelType w:val="hybridMultilevel"/>
    <w:tmpl w:val="853231E6"/>
    <w:lvl w:ilvl="0" w:tplc="0E5893B8">
      <w:start w:val="1"/>
      <w:numFmt w:val="bullet"/>
      <w:lvlText w:val=""/>
      <w:lvlJc w:val="left"/>
      <w:pPr>
        <w:tabs>
          <w:tab w:val="num" w:pos="0"/>
        </w:tabs>
        <w:ind w:left="0" w:hanging="360"/>
      </w:pPr>
      <w:rPr>
        <w:rFonts w:ascii="Wingdings" w:hAnsi="Wingdings" w:hint="default"/>
      </w:rPr>
    </w:lvl>
    <w:lvl w:ilvl="1" w:tplc="803AD7DC" w:tentative="1">
      <w:start w:val="1"/>
      <w:numFmt w:val="bullet"/>
      <w:lvlText w:val=""/>
      <w:lvlJc w:val="left"/>
      <w:pPr>
        <w:tabs>
          <w:tab w:val="num" w:pos="720"/>
        </w:tabs>
        <w:ind w:left="720" w:hanging="360"/>
      </w:pPr>
      <w:rPr>
        <w:rFonts w:ascii="Wingdings" w:hAnsi="Wingdings" w:hint="default"/>
      </w:rPr>
    </w:lvl>
    <w:lvl w:ilvl="2" w:tplc="C5AE2B08" w:tentative="1">
      <w:start w:val="1"/>
      <w:numFmt w:val="bullet"/>
      <w:lvlText w:val=""/>
      <w:lvlJc w:val="left"/>
      <w:pPr>
        <w:tabs>
          <w:tab w:val="num" w:pos="1440"/>
        </w:tabs>
        <w:ind w:left="1440" w:hanging="360"/>
      </w:pPr>
      <w:rPr>
        <w:rFonts w:ascii="Wingdings" w:hAnsi="Wingdings" w:hint="default"/>
      </w:rPr>
    </w:lvl>
    <w:lvl w:ilvl="3" w:tplc="29DE7BF2" w:tentative="1">
      <w:start w:val="1"/>
      <w:numFmt w:val="bullet"/>
      <w:lvlText w:val=""/>
      <w:lvlJc w:val="left"/>
      <w:pPr>
        <w:tabs>
          <w:tab w:val="num" w:pos="2160"/>
        </w:tabs>
        <w:ind w:left="2160" w:hanging="360"/>
      </w:pPr>
      <w:rPr>
        <w:rFonts w:ascii="Wingdings" w:hAnsi="Wingdings" w:hint="default"/>
      </w:rPr>
    </w:lvl>
    <w:lvl w:ilvl="4" w:tplc="5A1AFEC0" w:tentative="1">
      <w:start w:val="1"/>
      <w:numFmt w:val="bullet"/>
      <w:lvlText w:val=""/>
      <w:lvlJc w:val="left"/>
      <w:pPr>
        <w:tabs>
          <w:tab w:val="num" w:pos="2880"/>
        </w:tabs>
        <w:ind w:left="2880" w:hanging="360"/>
      </w:pPr>
      <w:rPr>
        <w:rFonts w:ascii="Wingdings" w:hAnsi="Wingdings" w:hint="default"/>
      </w:rPr>
    </w:lvl>
    <w:lvl w:ilvl="5" w:tplc="D7A09232" w:tentative="1">
      <w:start w:val="1"/>
      <w:numFmt w:val="bullet"/>
      <w:lvlText w:val=""/>
      <w:lvlJc w:val="left"/>
      <w:pPr>
        <w:tabs>
          <w:tab w:val="num" w:pos="3600"/>
        </w:tabs>
        <w:ind w:left="3600" w:hanging="360"/>
      </w:pPr>
      <w:rPr>
        <w:rFonts w:ascii="Wingdings" w:hAnsi="Wingdings" w:hint="default"/>
      </w:rPr>
    </w:lvl>
    <w:lvl w:ilvl="6" w:tplc="EB326C52" w:tentative="1">
      <w:start w:val="1"/>
      <w:numFmt w:val="bullet"/>
      <w:lvlText w:val=""/>
      <w:lvlJc w:val="left"/>
      <w:pPr>
        <w:tabs>
          <w:tab w:val="num" w:pos="4320"/>
        </w:tabs>
        <w:ind w:left="4320" w:hanging="360"/>
      </w:pPr>
      <w:rPr>
        <w:rFonts w:ascii="Wingdings" w:hAnsi="Wingdings" w:hint="default"/>
      </w:rPr>
    </w:lvl>
    <w:lvl w:ilvl="7" w:tplc="281864EA" w:tentative="1">
      <w:start w:val="1"/>
      <w:numFmt w:val="bullet"/>
      <w:lvlText w:val=""/>
      <w:lvlJc w:val="left"/>
      <w:pPr>
        <w:tabs>
          <w:tab w:val="num" w:pos="5040"/>
        </w:tabs>
        <w:ind w:left="5040" w:hanging="360"/>
      </w:pPr>
      <w:rPr>
        <w:rFonts w:ascii="Wingdings" w:hAnsi="Wingdings" w:hint="default"/>
      </w:rPr>
    </w:lvl>
    <w:lvl w:ilvl="8" w:tplc="D5747DF0" w:tentative="1">
      <w:start w:val="1"/>
      <w:numFmt w:val="bullet"/>
      <w:lvlText w:val=""/>
      <w:lvlJc w:val="left"/>
      <w:pPr>
        <w:tabs>
          <w:tab w:val="num" w:pos="5760"/>
        </w:tabs>
        <w:ind w:left="5760" w:hanging="360"/>
      </w:pPr>
      <w:rPr>
        <w:rFonts w:ascii="Wingdings" w:hAnsi="Wingdings" w:hint="default"/>
      </w:rPr>
    </w:lvl>
  </w:abstractNum>
  <w:abstractNum w:abstractNumId="19" w15:restartNumberingAfterBreak="0">
    <w:nsid w:val="428E7E9D"/>
    <w:multiLevelType w:val="multilevel"/>
    <w:tmpl w:val="4FACF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5870222"/>
    <w:multiLevelType w:val="multilevel"/>
    <w:tmpl w:val="E348F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D94D78"/>
    <w:multiLevelType w:val="hybridMultilevel"/>
    <w:tmpl w:val="61AC7F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90B001F"/>
    <w:multiLevelType w:val="hybridMultilevel"/>
    <w:tmpl w:val="C7965C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970023B"/>
    <w:multiLevelType w:val="hybridMultilevel"/>
    <w:tmpl w:val="831661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DBC70AD"/>
    <w:multiLevelType w:val="multilevel"/>
    <w:tmpl w:val="FD344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F0235DF"/>
    <w:multiLevelType w:val="hybridMultilevel"/>
    <w:tmpl w:val="DDA0F1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FFA79CD"/>
    <w:multiLevelType w:val="hybridMultilevel"/>
    <w:tmpl w:val="62C4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F747B7"/>
    <w:multiLevelType w:val="hybridMultilevel"/>
    <w:tmpl w:val="1680A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3B51EE5"/>
    <w:multiLevelType w:val="multilevel"/>
    <w:tmpl w:val="F95CC9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4F3396B"/>
    <w:multiLevelType w:val="hybridMultilevel"/>
    <w:tmpl w:val="040803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77D191F"/>
    <w:multiLevelType w:val="multilevel"/>
    <w:tmpl w:val="051673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D5B3DED"/>
    <w:multiLevelType w:val="hybridMultilevel"/>
    <w:tmpl w:val="36B889C8"/>
    <w:lvl w:ilvl="0" w:tplc="04090001">
      <w:start w:val="1"/>
      <w:numFmt w:val="bullet"/>
      <w:lvlText w:val=""/>
      <w:lvlJc w:val="left"/>
      <w:pPr>
        <w:ind w:left="461" w:hanging="360"/>
      </w:pPr>
      <w:rPr>
        <w:rFonts w:ascii="Symbol" w:hAnsi="Symbol" w:hint="default"/>
      </w:rPr>
    </w:lvl>
    <w:lvl w:ilvl="1" w:tplc="04090003" w:tentative="1">
      <w:start w:val="1"/>
      <w:numFmt w:val="bullet"/>
      <w:lvlText w:val="o"/>
      <w:lvlJc w:val="left"/>
      <w:pPr>
        <w:ind w:left="1181" w:hanging="360"/>
      </w:pPr>
      <w:rPr>
        <w:rFonts w:ascii="Courier New" w:hAnsi="Courier New" w:hint="default"/>
      </w:rPr>
    </w:lvl>
    <w:lvl w:ilvl="2" w:tplc="04090005" w:tentative="1">
      <w:start w:val="1"/>
      <w:numFmt w:val="bullet"/>
      <w:lvlText w:val=""/>
      <w:lvlJc w:val="left"/>
      <w:pPr>
        <w:ind w:left="1901" w:hanging="360"/>
      </w:pPr>
      <w:rPr>
        <w:rFonts w:ascii="Wingdings" w:hAnsi="Wingdings" w:hint="default"/>
      </w:rPr>
    </w:lvl>
    <w:lvl w:ilvl="3" w:tplc="04090001" w:tentative="1">
      <w:start w:val="1"/>
      <w:numFmt w:val="bullet"/>
      <w:lvlText w:val=""/>
      <w:lvlJc w:val="left"/>
      <w:pPr>
        <w:ind w:left="2621" w:hanging="360"/>
      </w:pPr>
      <w:rPr>
        <w:rFonts w:ascii="Symbol" w:hAnsi="Symbol" w:hint="default"/>
      </w:rPr>
    </w:lvl>
    <w:lvl w:ilvl="4" w:tplc="04090003" w:tentative="1">
      <w:start w:val="1"/>
      <w:numFmt w:val="bullet"/>
      <w:lvlText w:val="o"/>
      <w:lvlJc w:val="left"/>
      <w:pPr>
        <w:ind w:left="3341" w:hanging="360"/>
      </w:pPr>
      <w:rPr>
        <w:rFonts w:ascii="Courier New" w:hAnsi="Courier New" w:hint="default"/>
      </w:rPr>
    </w:lvl>
    <w:lvl w:ilvl="5" w:tplc="04090005" w:tentative="1">
      <w:start w:val="1"/>
      <w:numFmt w:val="bullet"/>
      <w:lvlText w:val=""/>
      <w:lvlJc w:val="left"/>
      <w:pPr>
        <w:ind w:left="4061" w:hanging="360"/>
      </w:pPr>
      <w:rPr>
        <w:rFonts w:ascii="Wingdings" w:hAnsi="Wingdings" w:hint="default"/>
      </w:rPr>
    </w:lvl>
    <w:lvl w:ilvl="6" w:tplc="04090001" w:tentative="1">
      <w:start w:val="1"/>
      <w:numFmt w:val="bullet"/>
      <w:lvlText w:val=""/>
      <w:lvlJc w:val="left"/>
      <w:pPr>
        <w:ind w:left="4781" w:hanging="360"/>
      </w:pPr>
      <w:rPr>
        <w:rFonts w:ascii="Symbol" w:hAnsi="Symbol" w:hint="default"/>
      </w:rPr>
    </w:lvl>
    <w:lvl w:ilvl="7" w:tplc="04090003" w:tentative="1">
      <w:start w:val="1"/>
      <w:numFmt w:val="bullet"/>
      <w:lvlText w:val="o"/>
      <w:lvlJc w:val="left"/>
      <w:pPr>
        <w:ind w:left="5501" w:hanging="360"/>
      </w:pPr>
      <w:rPr>
        <w:rFonts w:ascii="Courier New" w:hAnsi="Courier New" w:hint="default"/>
      </w:rPr>
    </w:lvl>
    <w:lvl w:ilvl="8" w:tplc="04090005" w:tentative="1">
      <w:start w:val="1"/>
      <w:numFmt w:val="bullet"/>
      <w:lvlText w:val=""/>
      <w:lvlJc w:val="left"/>
      <w:pPr>
        <w:ind w:left="6221" w:hanging="360"/>
      </w:pPr>
      <w:rPr>
        <w:rFonts w:ascii="Wingdings" w:hAnsi="Wingdings" w:hint="default"/>
      </w:rPr>
    </w:lvl>
  </w:abstractNum>
  <w:abstractNum w:abstractNumId="32" w15:restartNumberingAfterBreak="0">
    <w:nsid w:val="669959F0"/>
    <w:multiLevelType w:val="hybridMultilevel"/>
    <w:tmpl w:val="3B0C86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122B9A"/>
    <w:multiLevelType w:val="hybridMultilevel"/>
    <w:tmpl w:val="8E3C344C"/>
    <w:lvl w:ilvl="0" w:tplc="C916029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C152F93"/>
    <w:multiLevelType w:val="hybridMultilevel"/>
    <w:tmpl w:val="9932B8C4"/>
    <w:lvl w:ilvl="0" w:tplc="E6B07896">
      <w:start w:val="1"/>
      <w:numFmt w:val="bullet"/>
      <w:lvlText w:val=""/>
      <w:lvlJc w:val="left"/>
      <w:pPr>
        <w:tabs>
          <w:tab w:val="num" w:pos="720"/>
        </w:tabs>
        <w:ind w:left="720" w:hanging="360"/>
      </w:pPr>
      <w:rPr>
        <w:rFonts w:ascii="Wingdings" w:hAnsi="Wingdings" w:hint="default"/>
      </w:rPr>
    </w:lvl>
    <w:lvl w:ilvl="1" w:tplc="7C1E15F6" w:tentative="1">
      <w:start w:val="1"/>
      <w:numFmt w:val="bullet"/>
      <w:lvlText w:val=""/>
      <w:lvlJc w:val="left"/>
      <w:pPr>
        <w:tabs>
          <w:tab w:val="num" w:pos="1440"/>
        </w:tabs>
        <w:ind w:left="1440" w:hanging="360"/>
      </w:pPr>
      <w:rPr>
        <w:rFonts w:ascii="Wingdings" w:hAnsi="Wingdings" w:hint="default"/>
      </w:rPr>
    </w:lvl>
    <w:lvl w:ilvl="2" w:tplc="C89A4558" w:tentative="1">
      <w:start w:val="1"/>
      <w:numFmt w:val="bullet"/>
      <w:lvlText w:val=""/>
      <w:lvlJc w:val="left"/>
      <w:pPr>
        <w:tabs>
          <w:tab w:val="num" w:pos="2160"/>
        </w:tabs>
        <w:ind w:left="2160" w:hanging="360"/>
      </w:pPr>
      <w:rPr>
        <w:rFonts w:ascii="Wingdings" w:hAnsi="Wingdings" w:hint="default"/>
      </w:rPr>
    </w:lvl>
    <w:lvl w:ilvl="3" w:tplc="CB62F3A4" w:tentative="1">
      <w:start w:val="1"/>
      <w:numFmt w:val="bullet"/>
      <w:lvlText w:val=""/>
      <w:lvlJc w:val="left"/>
      <w:pPr>
        <w:tabs>
          <w:tab w:val="num" w:pos="2880"/>
        </w:tabs>
        <w:ind w:left="2880" w:hanging="360"/>
      </w:pPr>
      <w:rPr>
        <w:rFonts w:ascii="Wingdings" w:hAnsi="Wingdings" w:hint="default"/>
      </w:rPr>
    </w:lvl>
    <w:lvl w:ilvl="4" w:tplc="A2181CA8" w:tentative="1">
      <w:start w:val="1"/>
      <w:numFmt w:val="bullet"/>
      <w:lvlText w:val=""/>
      <w:lvlJc w:val="left"/>
      <w:pPr>
        <w:tabs>
          <w:tab w:val="num" w:pos="3600"/>
        </w:tabs>
        <w:ind w:left="3600" w:hanging="360"/>
      </w:pPr>
      <w:rPr>
        <w:rFonts w:ascii="Wingdings" w:hAnsi="Wingdings" w:hint="default"/>
      </w:rPr>
    </w:lvl>
    <w:lvl w:ilvl="5" w:tplc="CD000672" w:tentative="1">
      <w:start w:val="1"/>
      <w:numFmt w:val="bullet"/>
      <w:lvlText w:val=""/>
      <w:lvlJc w:val="left"/>
      <w:pPr>
        <w:tabs>
          <w:tab w:val="num" w:pos="4320"/>
        </w:tabs>
        <w:ind w:left="4320" w:hanging="360"/>
      </w:pPr>
      <w:rPr>
        <w:rFonts w:ascii="Wingdings" w:hAnsi="Wingdings" w:hint="default"/>
      </w:rPr>
    </w:lvl>
    <w:lvl w:ilvl="6" w:tplc="95988628" w:tentative="1">
      <w:start w:val="1"/>
      <w:numFmt w:val="bullet"/>
      <w:lvlText w:val=""/>
      <w:lvlJc w:val="left"/>
      <w:pPr>
        <w:tabs>
          <w:tab w:val="num" w:pos="5040"/>
        </w:tabs>
        <w:ind w:left="5040" w:hanging="360"/>
      </w:pPr>
      <w:rPr>
        <w:rFonts w:ascii="Wingdings" w:hAnsi="Wingdings" w:hint="default"/>
      </w:rPr>
    </w:lvl>
    <w:lvl w:ilvl="7" w:tplc="1666D058" w:tentative="1">
      <w:start w:val="1"/>
      <w:numFmt w:val="bullet"/>
      <w:lvlText w:val=""/>
      <w:lvlJc w:val="left"/>
      <w:pPr>
        <w:tabs>
          <w:tab w:val="num" w:pos="5760"/>
        </w:tabs>
        <w:ind w:left="5760" w:hanging="360"/>
      </w:pPr>
      <w:rPr>
        <w:rFonts w:ascii="Wingdings" w:hAnsi="Wingdings" w:hint="default"/>
      </w:rPr>
    </w:lvl>
    <w:lvl w:ilvl="8" w:tplc="59881AB6"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3B55C5"/>
    <w:multiLevelType w:val="hybridMultilevel"/>
    <w:tmpl w:val="392CA4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EF914BE"/>
    <w:multiLevelType w:val="multilevel"/>
    <w:tmpl w:val="DD50C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1075CD3"/>
    <w:multiLevelType w:val="hybridMultilevel"/>
    <w:tmpl w:val="A1ACBE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5C97FAC"/>
    <w:multiLevelType w:val="hybridMultilevel"/>
    <w:tmpl w:val="8B9C7DE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766967DE"/>
    <w:multiLevelType w:val="hybridMultilevel"/>
    <w:tmpl w:val="0F00B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F773B8A"/>
    <w:multiLevelType w:val="multilevel"/>
    <w:tmpl w:val="C234CA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3"/>
  </w:num>
  <w:num w:numId="2">
    <w:abstractNumId w:val="22"/>
  </w:num>
  <w:num w:numId="3">
    <w:abstractNumId w:val="20"/>
  </w:num>
  <w:num w:numId="4">
    <w:abstractNumId w:val="32"/>
  </w:num>
  <w:num w:numId="5">
    <w:abstractNumId w:val="27"/>
  </w:num>
  <w:num w:numId="6">
    <w:abstractNumId w:val="1"/>
  </w:num>
  <w:num w:numId="7">
    <w:abstractNumId w:val="30"/>
  </w:num>
  <w:num w:numId="8">
    <w:abstractNumId w:val="9"/>
  </w:num>
  <w:num w:numId="9">
    <w:abstractNumId w:val="35"/>
  </w:num>
  <w:num w:numId="10">
    <w:abstractNumId w:val="4"/>
  </w:num>
  <w:num w:numId="11">
    <w:abstractNumId w:val="23"/>
  </w:num>
  <w:num w:numId="12">
    <w:abstractNumId w:val="6"/>
  </w:num>
  <w:num w:numId="13">
    <w:abstractNumId w:val="5"/>
  </w:num>
  <w:num w:numId="14">
    <w:abstractNumId w:val="38"/>
  </w:num>
  <w:num w:numId="15">
    <w:abstractNumId w:val="3"/>
  </w:num>
  <w:num w:numId="16">
    <w:abstractNumId w:val="16"/>
  </w:num>
  <w:num w:numId="17">
    <w:abstractNumId w:val="19"/>
  </w:num>
  <w:num w:numId="18">
    <w:abstractNumId w:val="12"/>
  </w:num>
  <w:num w:numId="19">
    <w:abstractNumId w:val="24"/>
  </w:num>
  <w:num w:numId="20">
    <w:abstractNumId w:val="36"/>
  </w:num>
  <w:num w:numId="21">
    <w:abstractNumId w:val="13"/>
  </w:num>
  <w:num w:numId="22">
    <w:abstractNumId w:val="15"/>
  </w:num>
  <w:num w:numId="23">
    <w:abstractNumId w:val="14"/>
  </w:num>
  <w:num w:numId="24">
    <w:abstractNumId w:val="37"/>
  </w:num>
  <w:num w:numId="25">
    <w:abstractNumId w:val="0"/>
  </w:num>
  <w:num w:numId="26">
    <w:abstractNumId w:val="28"/>
  </w:num>
  <w:num w:numId="27">
    <w:abstractNumId w:val="39"/>
  </w:num>
  <w:num w:numId="28">
    <w:abstractNumId w:val="18"/>
  </w:num>
  <w:num w:numId="29">
    <w:abstractNumId w:val="7"/>
  </w:num>
  <w:num w:numId="30">
    <w:abstractNumId w:val="26"/>
  </w:num>
  <w:num w:numId="31">
    <w:abstractNumId w:val="17"/>
  </w:num>
  <w:num w:numId="32">
    <w:abstractNumId w:val="34"/>
  </w:num>
  <w:num w:numId="33">
    <w:abstractNumId w:val="21"/>
  </w:num>
  <w:num w:numId="34">
    <w:abstractNumId w:val="2"/>
  </w:num>
  <w:num w:numId="35">
    <w:abstractNumId w:val="31"/>
  </w:num>
  <w:num w:numId="36">
    <w:abstractNumId w:val="29"/>
  </w:num>
  <w:num w:numId="37">
    <w:abstractNumId w:val="11"/>
  </w:num>
  <w:num w:numId="38">
    <w:abstractNumId w:val="25"/>
  </w:num>
  <w:num w:numId="39">
    <w:abstractNumId w:val="8"/>
  </w:num>
  <w:num w:numId="40">
    <w:abstractNumId w:val="10"/>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1BF"/>
    <w:rsid w:val="000027BB"/>
    <w:rsid w:val="00003636"/>
    <w:rsid w:val="00003E27"/>
    <w:rsid w:val="00004D5C"/>
    <w:rsid w:val="00006688"/>
    <w:rsid w:val="00006B09"/>
    <w:rsid w:val="0000734F"/>
    <w:rsid w:val="00007859"/>
    <w:rsid w:val="00011753"/>
    <w:rsid w:val="00012A32"/>
    <w:rsid w:val="00013490"/>
    <w:rsid w:val="00014A35"/>
    <w:rsid w:val="00014DD0"/>
    <w:rsid w:val="0001596D"/>
    <w:rsid w:val="0002055E"/>
    <w:rsid w:val="0002215B"/>
    <w:rsid w:val="00023A37"/>
    <w:rsid w:val="0002798C"/>
    <w:rsid w:val="000304C4"/>
    <w:rsid w:val="00031C70"/>
    <w:rsid w:val="000331A7"/>
    <w:rsid w:val="00033AFB"/>
    <w:rsid w:val="00033CF7"/>
    <w:rsid w:val="00035409"/>
    <w:rsid w:val="00035503"/>
    <w:rsid w:val="00036A01"/>
    <w:rsid w:val="00036A55"/>
    <w:rsid w:val="0004364F"/>
    <w:rsid w:val="00043FAB"/>
    <w:rsid w:val="0004455D"/>
    <w:rsid w:val="00046D02"/>
    <w:rsid w:val="00046E09"/>
    <w:rsid w:val="00051C9D"/>
    <w:rsid w:val="00052608"/>
    <w:rsid w:val="00053E7B"/>
    <w:rsid w:val="000553F3"/>
    <w:rsid w:val="000561DD"/>
    <w:rsid w:val="00061158"/>
    <w:rsid w:val="0006400A"/>
    <w:rsid w:val="000645B8"/>
    <w:rsid w:val="00071009"/>
    <w:rsid w:val="00071402"/>
    <w:rsid w:val="00071501"/>
    <w:rsid w:val="00071743"/>
    <w:rsid w:val="000721ED"/>
    <w:rsid w:val="000722D0"/>
    <w:rsid w:val="0007376C"/>
    <w:rsid w:val="000740EF"/>
    <w:rsid w:val="00074C1C"/>
    <w:rsid w:val="00076048"/>
    <w:rsid w:val="00076CA7"/>
    <w:rsid w:val="00077B8C"/>
    <w:rsid w:val="0008056E"/>
    <w:rsid w:val="00080C27"/>
    <w:rsid w:val="00080EF8"/>
    <w:rsid w:val="00082EF7"/>
    <w:rsid w:val="000855A8"/>
    <w:rsid w:val="00086049"/>
    <w:rsid w:val="00086587"/>
    <w:rsid w:val="00086A82"/>
    <w:rsid w:val="00087969"/>
    <w:rsid w:val="00091B66"/>
    <w:rsid w:val="00092794"/>
    <w:rsid w:val="0009409A"/>
    <w:rsid w:val="00095D1C"/>
    <w:rsid w:val="00097E4E"/>
    <w:rsid w:val="000A39FE"/>
    <w:rsid w:val="000A4AC2"/>
    <w:rsid w:val="000A71B1"/>
    <w:rsid w:val="000A7787"/>
    <w:rsid w:val="000A78AE"/>
    <w:rsid w:val="000B029F"/>
    <w:rsid w:val="000B05B4"/>
    <w:rsid w:val="000B1F58"/>
    <w:rsid w:val="000B2456"/>
    <w:rsid w:val="000B322E"/>
    <w:rsid w:val="000B35CC"/>
    <w:rsid w:val="000B3A84"/>
    <w:rsid w:val="000B5B52"/>
    <w:rsid w:val="000B67B4"/>
    <w:rsid w:val="000B7A56"/>
    <w:rsid w:val="000C0DF2"/>
    <w:rsid w:val="000C18E4"/>
    <w:rsid w:val="000C4661"/>
    <w:rsid w:val="000C629C"/>
    <w:rsid w:val="000C7572"/>
    <w:rsid w:val="000D15A2"/>
    <w:rsid w:val="000D1EA7"/>
    <w:rsid w:val="000D264F"/>
    <w:rsid w:val="000D4E1F"/>
    <w:rsid w:val="000D78FF"/>
    <w:rsid w:val="000E0FB8"/>
    <w:rsid w:val="000E138E"/>
    <w:rsid w:val="000E4B2A"/>
    <w:rsid w:val="000E68B8"/>
    <w:rsid w:val="000E7099"/>
    <w:rsid w:val="000E7138"/>
    <w:rsid w:val="000E7A9D"/>
    <w:rsid w:val="000F0AE6"/>
    <w:rsid w:val="000F2996"/>
    <w:rsid w:val="000F3490"/>
    <w:rsid w:val="000F43E9"/>
    <w:rsid w:val="000F7025"/>
    <w:rsid w:val="0010117B"/>
    <w:rsid w:val="001024CB"/>
    <w:rsid w:val="00104A30"/>
    <w:rsid w:val="00104D0F"/>
    <w:rsid w:val="00105B6A"/>
    <w:rsid w:val="00106EA8"/>
    <w:rsid w:val="00111056"/>
    <w:rsid w:val="00111420"/>
    <w:rsid w:val="0011199D"/>
    <w:rsid w:val="001133DE"/>
    <w:rsid w:val="0012081C"/>
    <w:rsid w:val="00120FCD"/>
    <w:rsid w:val="00122B24"/>
    <w:rsid w:val="00122F33"/>
    <w:rsid w:val="001230DF"/>
    <w:rsid w:val="00123115"/>
    <w:rsid w:val="00123F07"/>
    <w:rsid w:val="0012492E"/>
    <w:rsid w:val="001251A7"/>
    <w:rsid w:val="00127C8F"/>
    <w:rsid w:val="00130427"/>
    <w:rsid w:val="001311FE"/>
    <w:rsid w:val="001360C8"/>
    <w:rsid w:val="001373D1"/>
    <w:rsid w:val="001374BD"/>
    <w:rsid w:val="00140A4F"/>
    <w:rsid w:val="00142AC8"/>
    <w:rsid w:val="001441D8"/>
    <w:rsid w:val="0014493F"/>
    <w:rsid w:val="00144ACC"/>
    <w:rsid w:val="00144CF5"/>
    <w:rsid w:val="00147401"/>
    <w:rsid w:val="00147FC6"/>
    <w:rsid w:val="001501D8"/>
    <w:rsid w:val="00150C9E"/>
    <w:rsid w:val="00151DB3"/>
    <w:rsid w:val="001532AC"/>
    <w:rsid w:val="00154DDF"/>
    <w:rsid w:val="0015555C"/>
    <w:rsid w:val="00156E42"/>
    <w:rsid w:val="001571B4"/>
    <w:rsid w:val="00157B02"/>
    <w:rsid w:val="00160B0B"/>
    <w:rsid w:val="00164058"/>
    <w:rsid w:val="00164C14"/>
    <w:rsid w:val="001655B1"/>
    <w:rsid w:val="001657D1"/>
    <w:rsid w:val="001709D0"/>
    <w:rsid w:val="0017269E"/>
    <w:rsid w:val="001728F6"/>
    <w:rsid w:val="001737AE"/>
    <w:rsid w:val="00177CDD"/>
    <w:rsid w:val="00180DD1"/>
    <w:rsid w:val="00181CCA"/>
    <w:rsid w:val="0018516D"/>
    <w:rsid w:val="00185725"/>
    <w:rsid w:val="00185F62"/>
    <w:rsid w:val="00187566"/>
    <w:rsid w:val="001906C2"/>
    <w:rsid w:val="00193EEC"/>
    <w:rsid w:val="00195591"/>
    <w:rsid w:val="001960AB"/>
    <w:rsid w:val="001965F6"/>
    <w:rsid w:val="00196D09"/>
    <w:rsid w:val="001A06E5"/>
    <w:rsid w:val="001A2C68"/>
    <w:rsid w:val="001A33C0"/>
    <w:rsid w:val="001A6313"/>
    <w:rsid w:val="001A774F"/>
    <w:rsid w:val="001B10C6"/>
    <w:rsid w:val="001B31C2"/>
    <w:rsid w:val="001B3EA2"/>
    <w:rsid w:val="001B4418"/>
    <w:rsid w:val="001B468D"/>
    <w:rsid w:val="001B7BCF"/>
    <w:rsid w:val="001B7F17"/>
    <w:rsid w:val="001C062C"/>
    <w:rsid w:val="001C0D51"/>
    <w:rsid w:val="001C1612"/>
    <w:rsid w:val="001C5D5B"/>
    <w:rsid w:val="001C67C8"/>
    <w:rsid w:val="001C7278"/>
    <w:rsid w:val="001C7DF8"/>
    <w:rsid w:val="001C7F8B"/>
    <w:rsid w:val="001D54F4"/>
    <w:rsid w:val="001E03A2"/>
    <w:rsid w:val="001E0830"/>
    <w:rsid w:val="001E0B1E"/>
    <w:rsid w:val="001E16CB"/>
    <w:rsid w:val="001E2774"/>
    <w:rsid w:val="001E3DD6"/>
    <w:rsid w:val="001E49F9"/>
    <w:rsid w:val="001E5273"/>
    <w:rsid w:val="001E5D1E"/>
    <w:rsid w:val="001E7169"/>
    <w:rsid w:val="001F16DB"/>
    <w:rsid w:val="001F1CE1"/>
    <w:rsid w:val="001F1D67"/>
    <w:rsid w:val="001F1F27"/>
    <w:rsid w:val="001F2E2A"/>
    <w:rsid w:val="001F2E93"/>
    <w:rsid w:val="001F48DF"/>
    <w:rsid w:val="001F4D1F"/>
    <w:rsid w:val="001F691F"/>
    <w:rsid w:val="001F7E0E"/>
    <w:rsid w:val="00200E8C"/>
    <w:rsid w:val="002030C2"/>
    <w:rsid w:val="0020539C"/>
    <w:rsid w:val="0020552A"/>
    <w:rsid w:val="00211947"/>
    <w:rsid w:val="00212E9B"/>
    <w:rsid w:val="002155FB"/>
    <w:rsid w:val="00215BFA"/>
    <w:rsid w:val="00217393"/>
    <w:rsid w:val="00222CFA"/>
    <w:rsid w:val="0023301F"/>
    <w:rsid w:val="00234CD5"/>
    <w:rsid w:val="00234CE3"/>
    <w:rsid w:val="002418B2"/>
    <w:rsid w:val="00242818"/>
    <w:rsid w:val="00243189"/>
    <w:rsid w:val="0024479D"/>
    <w:rsid w:val="0024724D"/>
    <w:rsid w:val="0025068A"/>
    <w:rsid w:val="0025185C"/>
    <w:rsid w:val="00252902"/>
    <w:rsid w:val="00252976"/>
    <w:rsid w:val="00252A29"/>
    <w:rsid w:val="00255A0E"/>
    <w:rsid w:val="0026077C"/>
    <w:rsid w:val="00262466"/>
    <w:rsid w:val="00262A7D"/>
    <w:rsid w:val="0026319C"/>
    <w:rsid w:val="002638D0"/>
    <w:rsid w:val="00263F50"/>
    <w:rsid w:val="002708D2"/>
    <w:rsid w:val="00273051"/>
    <w:rsid w:val="002734EB"/>
    <w:rsid w:val="00273875"/>
    <w:rsid w:val="00273CB2"/>
    <w:rsid w:val="002754EB"/>
    <w:rsid w:val="00277A83"/>
    <w:rsid w:val="00277B70"/>
    <w:rsid w:val="002803D9"/>
    <w:rsid w:val="0028096B"/>
    <w:rsid w:val="0028470E"/>
    <w:rsid w:val="002858E0"/>
    <w:rsid w:val="00285920"/>
    <w:rsid w:val="00285E8C"/>
    <w:rsid w:val="00286794"/>
    <w:rsid w:val="00286E0E"/>
    <w:rsid w:val="00287DCB"/>
    <w:rsid w:val="0029033D"/>
    <w:rsid w:val="0029061B"/>
    <w:rsid w:val="00292AD0"/>
    <w:rsid w:val="00292BE2"/>
    <w:rsid w:val="00293034"/>
    <w:rsid w:val="00295514"/>
    <w:rsid w:val="002A05F2"/>
    <w:rsid w:val="002A4B45"/>
    <w:rsid w:val="002A5579"/>
    <w:rsid w:val="002A55E1"/>
    <w:rsid w:val="002A6A2C"/>
    <w:rsid w:val="002B1863"/>
    <w:rsid w:val="002B381B"/>
    <w:rsid w:val="002B5A2A"/>
    <w:rsid w:val="002B604E"/>
    <w:rsid w:val="002B6B74"/>
    <w:rsid w:val="002B73B4"/>
    <w:rsid w:val="002C06C6"/>
    <w:rsid w:val="002C552C"/>
    <w:rsid w:val="002C77E9"/>
    <w:rsid w:val="002D1445"/>
    <w:rsid w:val="002D23C6"/>
    <w:rsid w:val="002D38D6"/>
    <w:rsid w:val="002D5581"/>
    <w:rsid w:val="002D6725"/>
    <w:rsid w:val="002E0A51"/>
    <w:rsid w:val="002E2248"/>
    <w:rsid w:val="002E2BB0"/>
    <w:rsid w:val="002E57F6"/>
    <w:rsid w:val="002E71A9"/>
    <w:rsid w:val="002F26DB"/>
    <w:rsid w:val="002F3B3E"/>
    <w:rsid w:val="00302FB7"/>
    <w:rsid w:val="00303E3F"/>
    <w:rsid w:val="00303EC0"/>
    <w:rsid w:val="0030406B"/>
    <w:rsid w:val="00304D0B"/>
    <w:rsid w:val="00310466"/>
    <w:rsid w:val="00311074"/>
    <w:rsid w:val="00311746"/>
    <w:rsid w:val="00311FFE"/>
    <w:rsid w:val="00313314"/>
    <w:rsid w:val="00313537"/>
    <w:rsid w:val="003163FB"/>
    <w:rsid w:val="00317AB5"/>
    <w:rsid w:val="00321644"/>
    <w:rsid w:val="003275D5"/>
    <w:rsid w:val="0033117B"/>
    <w:rsid w:val="00331535"/>
    <w:rsid w:val="0033159C"/>
    <w:rsid w:val="00331DFF"/>
    <w:rsid w:val="00331E88"/>
    <w:rsid w:val="00332D16"/>
    <w:rsid w:val="00332F21"/>
    <w:rsid w:val="00336DEF"/>
    <w:rsid w:val="00337454"/>
    <w:rsid w:val="00337B74"/>
    <w:rsid w:val="003405AB"/>
    <w:rsid w:val="00342D83"/>
    <w:rsid w:val="003464E8"/>
    <w:rsid w:val="00346995"/>
    <w:rsid w:val="00351856"/>
    <w:rsid w:val="00351F90"/>
    <w:rsid w:val="00352378"/>
    <w:rsid w:val="00352547"/>
    <w:rsid w:val="00352A7E"/>
    <w:rsid w:val="00353299"/>
    <w:rsid w:val="0035344B"/>
    <w:rsid w:val="00354A7B"/>
    <w:rsid w:val="00354FCE"/>
    <w:rsid w:val="00355F7E"/>
    <w:rsid w:val="003568B8"/>
    <w:rsid w:val="003606D9"/>
    <w:rsid w:val="003632BD"/>
    <w:rsid w:val="00363AE0"/>
    <w:rsid w:val="00365C48"/>
    <w:rsid w:val="00367440"/>
    <w:rsid w:val="0037029B"/>
    <w:rsid w:val="00371C76"/>
    <w:rsid w:val="003757EB"/>
    <w:rsid w:val="00380F3E"/>
    <w:rsid w:val="003864A2"/>
    <w:rsid w:val="00386A0E"/>
    <w:rsid w:val="0038795B"/>
    <w:rsid w:val="00392206"/>
    <w:rsid w:val="0039280F"/>
    <w:rsid w:val="003936EA"/>
    <w:rsid w:val="00393D63"/>
    <w:rsid w:val="00395A75"/>
    <w:rsid w:val="00397611"/>
    <w:rsid w:val="003A1F4B"/>
    <w:rsid w:val="003A1FD3"/>
    <w:rsid w:val="003A1FF0"/>
    <w:rsid w:val="003A2CFF"/>
    <w:rsid w:val="003B1D04"/>
    <w:rsid w:val="003B29BD"/>
    <w:rsid w:val="003B3556"/>
    <w:rsid w:val="003B3FAA"/>
    <w:rsid w:val="003C0025"/>
    <w:rsid w:val="003C06D8"/>
    <w:rsid w:val="003C0B78"/>
    <w:rsid w:val="003C21C8"/>
    <w:rsid w:val="003C4076"/>
    <w:rsid w:val="003C541A"/>
    <w:rsid w:val="003C5780"/>
    <w:rsid w:val="003D0692"/>
    <w:rsid w:val="003D42D8"/>
    <w:rsid w:val="003D4B8F"/>
    <w:rsid w:val="003D58AF"/>
    <w:rsid w:val="003D70ED"/>
    <w:rsid w:val="003E23DF"/>
    <w:rsid w:val="003E4C79"/>
    <w:rsid w:val="003F3D34"/>
    <w:rsid w:val="003F7176"/>
    <w:rsid w:val="00401AD2"/>
    <w:rsid w:val="00401EEA"/>
    <w:rsid w:val="004025D5"/>
    <w:rsid w:val="00402CB6"/>
    <w:rsid w:val="0040306C"/>
    <w:rsid w:val="00403EBC"/>
    <w:rsid w:val="0040502A"/>
    <w:rsid w:val="004063ED"/>
    <w:rsid w:val="00406A97"/>
    <w:rsid w:val="0040787A"/>
    <w:rsid w:val="004101B1"/>
    <w:rsid w:val="00410C0E"/>
    <w:rsid w:val="00411678"/>
    <w:rsid w:val="00412EAC"/>
    <w:rsid w:val="00414555"/>
    <w:rsid w:val="004158A3"/>
    <w:rsid w:val="00416C12"/>
    <w:rsid w:val="0042206D"/>
    <w:rsid w:val="004225F3"/>
    <w:rsid w:val="00423B8C"/>
    <w:rsid w:val="00423BBF"/>
    <w:rsid w:val="00423D20"/>
    <w:rsid w:val="004251A1"/>
    <w:rsid w:val="00426573"/>
    <w:rsid w:val="00431B5C"/>
    <w:rsid w:val="00432D71"/>
    <w:rsid w:val="00436427"/>
    <w:rsid w:val="00437163"/>
    <w:rsid w:val="00441011"/>
    <w:rsid w:val="00441446"/>
    <w:rsid w:val="004440A5"/>
    <w:rsid w:val="00451A9D"/>
    <w:rsid w:val="00453D6F"/>
    <w:rsid w:val="004542E5"/>
    <w:rsid w:val="00455060"/>
    <w:rsid w:val="0045570B"/>
    <w:rsid w:val="00460473"/>
    <w:rsid w:val="00463F3D"/>
    <w:rsid w:val="004642B7"/>
    <w:rsid w:val="004676EA"/>
    <w:rsid w:val="004706C5"/>
    <w:rsid w:val="004716DB"/>
    <w:rsid w:val="00472412"/>
    <w:rsid w:val="0047336D"/>
    <w:rsid w:val="0047611A"/>
    <w:rsid w:val="00481519"/>
    <w:rsid w:val="00481D0D"/>
    <w:rsid w:val="00482369"/>
    <w:rsid w:val="004847EF"/>
    <w:rsid w:val="00484C0B"/>
    <w:rsid w:val="00484DDC"/>
    <w:rsid w:val="004862AE"/>
    <w:rsid w:val="004863B1"/>
    <w:rsid w:val="00487503"/>
    <w:rsid w:val="00491050"/>
    <w:rsid w:val="00491185"/>
    <w:rsid w:val="00491C96"/>
    <w:rsid w:val="00494394"/>
    <w:rsid w:val="0049499B"/>
    <w:rsid w:val="00494C88"/>
    <w:rsid w:val="004A4A65"/>
    <w:rsid w:val="004A6A0F"/>
    <w:rsid w:val="004B26D6"/>
    <w:rsid w:val="004B38D5"/>
    <w:rsid w:val="004B555C"/>
    <w:rsid w:val="004B5DA0"/>
    <w:rsid w:val="004B6005"/>
    <w:rsid w:val="004C0359"/>
    <w:rsid w:val="004C0978"/>
    <w:rsid w:val="004C3295"/>
    <w:rsid w:val="004C6DCB"/>
    <w:rsid w:val="004C7F74"/>
    <w:rsid w:val="004D04D7"/>
    <w:rsid w:val="004D0A99"/>
    <w:rsid w:val="004D0FA6"/>
    <w:rsid w:val="004D1748"/>
    <w:rsid w:val="004D3F5A"/>
    <w:rsid w:val="004D41AE"/>
    <w:rsid w:val="004D4852"/>
    <w:rsid w:val="004E097B"/>
    <w:rsid w:val="004E09E3"/>
    <w:rsid w:val="004E294C"/>
    <w:rsid w:val="004E34EF"/>
    <w:rsid w:val="004E60F1"/>
    <w:rsid w:val="004E7534"/>
    <w:rsid w:val="004E79A7"/>
    <w:rsid w:val="004F09B3"/>
    <w:rsid w:val="004F129C"/>
    <w:rsid w:val="004F19FF"/>
    <w:rsid w:val="004F4031"/>
    <w:rsid w:val="004F5351"/>
    <w:rsid w:val="004F6255"/>
    <w:rsid w:val="00500AB1"/>
    <w:rsid w:val="00501430"/>
    <w:rsid w:val="00501622"/>
    <w:rsid w:val="005019B2"/>
    <w:rsid w:val="005019D6"/>
    <w:rsid w:val="00505E10"/>
    <w:rsid w:val="00506592"/>
    <w:rsid w:val="00506F6C"/>
    <w:rsid w:val="00510E90"/>
    <w:rsid w:val="00511E5E"/>
    <w:rsid w:val="0051407E"/>
    <w:rsid w:val="00515058"/>
    <w:rsid w:val="00515B2C"/>
    <w:rsid w:val="00516BCB"/>
    <w:rsid w:val="00517AA7"/>
    <w:rsid w:val="00517EC7"/>
    <w:rsid w:val="005201E3"/>
    <w:rsid w:val="00520A39"/>
    <w:rsid w:val="0052114E"/>
    <w:rsid w:val="00521B64"/>
    <w:rsid w:val="005224EE"/>
    <w:rsid w:val="00522856"/>
    <w:rsid w:val="005265CB"/>
    <w:rsid w:val="005277CB"/>
    <w:rsid w:val="00530050"/>
    <w:rsid w:val="00530478"/>
    <w:rsid w:val="00530610"/>
    <w:rsid w:val="00541250"/>
    <w:rsid w:val="00541CC8"/>
    <w:rsid w:val="005442D4"/>
    <w:rsid w:val="00545590"/>
    <w:rsid w:val="00547456"/>
    <w:rsid w:val="005518C5"/>
    <w:rsid w:val="00560114"/>
    <w:rsid w:val="00560138"/>
    <w:rsid w:val="0056021A"/>
    <w:rsid w:val="00560A0C"/>
    <w:rsid w:val="00560FC5"/>
    <w:rsid w:val="00561540"/>
    <w:rsid w:val="00563A1E"/>
    <w:rsid w:val="005648B7"/>
    <w:rsid w:val="00564D8E"/>
    <w:rsid w:val="005654FB"/>
    <w:rsid w:val="005700A5"/>
    <w:rsid w:val="00571A6A"/>
    <w:rsid w:val="00571DFE"/>
    <w:rsid w:val="00572B38"/>
    <w:rsid w:val="00575B61"/>
    <w:rsid w:val="005778CF"/>
    <w:rsid w:val="00577ECD"/>
    <w:rsid w:val="005804A0"/>
    <w:rsid w:val="005805E6"/>
    <w:rsid w:val="005805F6"/>
    <w:rsid w:val="0058207A"/>
    <w:rsid w:val="00583244"/>
    <w:rsid w:val="00586445"/>
    <w:rsid w:val="005924B7"/>
    <w:rsid w:val="00595D02"/>
    <w:rsid w:val="00595DAA"/>
    <w:rsid w:val="005A3A8A"/>
    <w:rsid w:val="005A7982"/>
    <w:rsid w:val="005B075F"/>
    <w:rsid w:val="005B0E80"/>
    <w:rsid w:val="005B1C68"/>
    <w:rsid w:val="005B4DFC"/>
    <w:rsid w:val="005B56F1"/>
    <w:rsid w:val="005C1DB4"/>
    <w:rsid w:val="005C2DD7"/>
    <w:rsid w:val="005C3179"/>
    <w:rsid w:val="005C5E01"/>
    <w:rsid w:val="005C7156"/>
    <w:rsid w:val="005D1057"/>
    <w:rsid w:val="005D11A2"/>
    <w:rsid w:val="005D2EBB"/>
    <w:rsid w:val="005D64F5"/>
    <w:rsid w:val="005D6FB3"/>
    <w:rsid w:val="005D74C4"/>
    <w:rsid w:val="005D79D6"/>
    <w:rsid w:val="005E0F45"/>
    <w:rsid w:val="005E133E"/>
    <w:rsid w:val="005E4372"/>
    <w:rsid w:val="005F07DB"/>
    <w:rsid w:val="005F6724"/>
    <w:rsid w:val="005F76A7"/>
    <w:rsid w:val="00600B9E"/>
    <w:rsid w:val="00601A30"/>
    <w:rsid w:val="00604711"/>
    <w:rsid w:val="006052AE"/>
    <w:rsid w:val="00606473"/>
    <w:rsid w:val="006065BB"/>
    <w:rsid w:val="00606F8D"/>
    <w:rsid w:val="0060705A"/>
    <w:rsid w:val="00607506"/>
    <w:rsid w:val="006124DD"/>
    <w:rsid w:val="00612A39"/>
    <w:rsid w:val="00613EC7"/>
    <w:rsid w:val="00614698"/>
    <w:rsid w:val="006160C7"/>
    <w:rsid w:val="00624D03"/>
    <w:rsid w:val="00625AF9"/>
    <w:rsid w:val="0062624D"/>
    <w:rsid w:val="00626FF6"/>
    <w:rsid w:val="00627BE2"/>
    <w:rsid w:val="00630550"/>
    <w:rsid w:val="00632093"/>
    <w:rsid w:val="00632303"/>
    <w:rsid w:val="0063264C"/>
    <w:rsid w:val="00632E9A"/>
    <w:rsid w:val="00642C81"/>
    <w:rsid w:val="00643A0B"/>
    <w:rsid w:val="006468F6"/>
    <w:rsid w:val="00646B0C"/>
    <w:rsid w:val="006506D2"/>
    <w:rsid w:val="006520EE"/>
    <w:rsid w:val="00657B60"/>
    <w:rsid w:val="00657D15"/>
    <w:rsid w:val="00660945"/>
    <w:rsid w:val="00671D91"/>
    <w:rsid w:val="00673F52"/>
    <w:rsid w:val="0067569F"/>
    <w:rsid w:val="006764B2"/>
    <w:rsid w:val="00684B73"/>
    <w:rsid w:val="006853AC"/>
    <w:rsid w:val="00686053"/>
    <w:rsid w:val="006922C8"/>
    <w:rsid w:val="00692AF8"/>
    <w:rsid w:val="00692D5B"/>
    <w:rsid w:val="006945DF"/>
    <w:rsid w:val="00694874"/>
    <w:rsid w:val="006A14F0"/>
    <w:rsid w:val="006A1F7A"/>
    <w:rsid w:val="006A2B8A"/>
    <w:rsid w:val="006A31AB"/>
    <w:rsid w:val="006A4210"/>
    <w:rsid w:val="006A7A5C"/>
    <w:rsid w:val="006B0115"/>
    <w:rsid w:val="006B122E"/>
    <w:rsid w:val="006B2BA9"/>
    <w:rsid w:val="006B2D9C"/>
    <w:rsid w:val="006B3EE9"/>
    <w:rsid w:val="006B773D"/>
    <w:rsid w:val="006B7F89"/>
    <w:rsid w:val="006C0DFC"/>
    <w:rsid w:val="006C1950"/>
    <w:rsid w:val="006C2BCB"/>
    <w:rsid w:val="006C5569"/>
    <w:rsid w:val="006C74E7"/>
    <w:rsid w:val="006D29D8"/>
    <w:rsid w:val="006D316B"/>
    <w:rsid w:val="006D34E1"/>
    <w:rsid w:val="006D4401"/>
    <w:rsid w:val="006D5DED"/>
    <w:rsid w:val="006D7592"/>
    <w:rsid w:val="006E1711"/>
    <w:rsid w:val="006E1884"/>
    <w:rsid w:val="006E1BEC"/>
    <w:rsid w:val="006E5772"/>
    <w:rsid w:val="006E68B8"/>
    <w:rsid w:val="006E7F73"/>
    <w:rsid w:val="006E7FE1"/>
    <w:rsid w:val="006F003A"/>
    <w:rsid w:val="006F3863"/>
    <w:rsid w:val="006F5D4F"/>
    <w:rsid w:val="006F62AA"/>
    <w:rsid w:val="006F6FC6"/>
    <w:rsid w:val="00701D97"/>
    <w:rsid w:val="007020E8"/>
    <w:rsid w:val="007039A8"/>
    <w:rsid w:val="00704CE6"/>
    <w:rsid w:val="00705D34"/>
    <w:rsid w:val="00710A96"/>
    <w:rsid w:val="00711D76"/>
    <w:rsid w:val="00713C73"/>
    <w:rsid w:val="00713CD3"/>
    <w:rsid w:val="00714664"/>
    <w:rsid w:val="00714BD7"/>
    <w:rsid w:val="00715F56"/>
    <w:rsid w:val="007171B4"/>
    <w:rsid w:val="00717F11"/>
    <w:rsid w:val="00725D2D"/>
    <w:rsid w:val="0072637D"/>
    <w:rsid w:val="00727AB2"/>
    <w:rsid w:val="007342B1"/>
    <w:rsid w:val="007357D1"/>
    <w:rsid w:val="00737212"/>
    <w:rsid w:val="00737D47"/>
    <w:rsid w:val="00740CD1"/>
    <w:rsid w:val="00741B39"/>
    <w:rsid w:val="007441FF"/>
    <w:rsid w:val="0074787C"/>
    <w:rsid w:val="00751397"/>
    <w:rsid w:val="0075189D"/>
    <w:rsid w:val="0075272F"/>
    <w:rsid w:val="0075364F"/>
    <w:rsid w:val="00754147"/>
    <w:rsid w:val="00755030"/>
    <w:rsid w:val="00757232"/>
    <w:rsid w:val="0076237C"/>
    <w:rsid w:val="00764457"/>
    <w:rsid w:val="00764BE9"/>
    <w:rsid w:val="00764C18"/>
    <w:rsid w:val="007658C6"/>
    <w:rsid w:val="00766284"/>
    <w:rsid w:val="00767687"/>
    <w:rsid w:val="0076788F"/>
    <w:rsid w:val="00767959"/>
    <w:rsid w:val="00770534"/>
    <w:rsid w:val="007719A4"/>
    <w:rsid w:val="00774F7F"/>
    <w:rsid w:val="007753EC"/>
    <w:rsid w:val="00777685"/>
    <w:rsid w:val="007807D1"/>
    <w:rsid w:val="0078261F"/>
    <w:rsid w:val="00784927"/>
    <w:rsid w:val="00786BF9"/>
    <w:rsid w:val="00787739"/>
    <w:rsid w:val="00791BC6"/>
    <w:rsid w:val="00794CBE"/>
    <w:rsid w:val="007A0F38"/>
    <w:rsid w:val="007A1124"/>
    <w:rsid w:val="007A24DC"/>
    <w:rsid w:val="007A3216"/>
    <w:rsid w:val="007A3D6E"/>
    <w:rsid w:val="007B092F"/>
    <w:rsid w:val="007B0C39"/>
    <w:rsid w:val="007B12F1"/>
    <w:rsid w:val="007B27F8"/>
    <w:rsid w:val="007B33F5"/>
    <w:rsid w:val="007B5192"/>
    <w:rsid w:val="007B5D7C"/>
    <w:rsid w:val="007B74EE"/>
    <w:rsid w:val="007C0F7D"/>
    <w:rsid w:val="007C152A"/>
    <w:rsid w:val="007C171E"/>
    <w:rsid w:val="007C1F25"/>
    <w:rsid w:val="007C2041"/>
    <w:rsid w:val="007C24DA"/>
    <w:rsid w:val="007C2DF0"/>
    <w:rsid w:val="007C39CC"/>
    <w:rsid w:val="007C4C32"/>
    <w:rsid w:val="007C4CFD"/>
    <w:rsid w:val="007C7200"/>
    <w:rsid w:val="007C7F1E"/>
    <w:rsid w:val="007D0B25"/>
    <w:rsid w:val="007D1223"/>
    <w:rsid w:val="007D14F3"/>
    <w:rsid w:val="007D3FB0"/>
    <w:rsid w:val="007D55B1"/>
    <w:rsid w:val="007E0A7F"/>
    <w:rsid w:val="007E0B34"/>
    <w:rsid w:val="007E17A2"/>
    <w:rsid w:val="007E17F4"/>
    <w:rsid w:val="007E251D"/>
    <w:rsid w:val="007E3BDF"/>
    <w:rsid w:val="007E3CB7"/>
    <w:rsid w:val="007E4072"/>
    <w:rsid w:val="007E4FD7"/>
    <w:rsid w:val="007E5EE7"/>
    <w:rsid w:val="007E6FD4"/>
    <w:rsid w:val="007F0954"/>
    <w:rsid w:val="007F1DAA"/>
    <w:rsid w:val="007F21E8"/>
    <w:rsid w:val="007F3D2E"/>
    <w:rsid w:val="007F4675"/>
    <w:rsid w:val="00800E63"/>
    <w:rsid w:val="008046BC"/>
    <w:rsid w:val="00805814"/>
    <w:rsid w:val="00805D49"/>
    <w:rsid w:val="00806856"/>
    <w:rsid w:val="00810B65"/>
    <w:rsid w:val="00810D45"/>
    <w:rsid w:val="008115DB"/>
    <w:rsid w:val="0081211D"/>
    <w:rsid w:val="008122DB"/>
    <w:rsid w:val="00813AA7"/>
    <w:rsid w:val="00821177"/>
    <w:rsid w:val="008227D9"/>
    <w:rsid w:val="008227F8"/>
    <w:rsid w:val="0082375A"/>
    <w:rsid w:val="00823FC6"/>
    <w:rsid w:val="008249E2"/>
    <w:rsid w:val="00826128"/>
    <w:rsid w:val="00826DCE"/>
    <w:rsid w:val="00827473"/>
    <w:rsid w:val="00827594"/>
    <w:rsid w:val="008310AB"/>
    <w:rsid w:val="008312C0"/>
    <w:rsid w:val="0083328A"/>
    <w:rsid w:val="00833C11"/>
    <w:rsid w:val="00836107"/>
    <w:rsid w:val="00836F60"/>
    <w:rsid w:val="00837DFE"/>
    <w:rsid w:val="00842FA5"/>
    <w:rsid w:val="0084521C"/>
    <w:rsid w:val="008467B9"/>
    <w:rsid w:val="0085186A"/>
    <w:rsid w:val="00852784"/>
    <w:rsid w:val="00853291"/>
    <w:rsid w:val="00853464"/>
    <w:rsid w:val="00856E1B"/>
    <w:rsid w:val="0086045D"/>
    <w:rsid w:val="008636EC"/>
    <w:rsid w:val="00865A0C"/>
    <w:rsid w:val="00865DE2"/>
    <w:rsid w:val="00865E72"/>
    <w:rsid w:val="0086660B"/>
    <w:rsid w:val="00867048"/>
    <w:rsid w:val="0087276B"/>
    <w:rsid w:val="00872C92"/>
    <w:rsid w:val="008731EA"/>
    <w:rsid w:val="008749DF"/>
    <w:rsid w:val="00875EE9"/>
    <w:rsid w:val="0087778B"/>
    <w:rsid w:val="00880300"/>
    <w:rsid w:val="00880F6B"/>
    <w:rsid w:val="008810C7"/>
    <w:rsid w:val="00881AB2"/>
    <w:rsid w:val="00882CBC"/>
    <w:rsid w:val="00886761"/>
    <w:rsid w:val="00887767"/>
    <w:rsid w:val="00887D5B"/>
    <w:rsid w:val="008934E4"/>
    <w:rsid w:val="008950AB"/>
    <w:rsid w:val="00895886"/>
    <w:rsid w:val="008969C6"/>
    <w:rsid w:val="00896C87"/>
    <w:rsid w:val="00897D02"/>
    <w:rsid w:val="00897E9F"/>
    <w:rsid w:val="008A0286"/>
    <w:rsid w:val="008A0E9F"/>
    <w:rsid w:val="008A424C"/>
    <w:rsid w:val="008A47A2"/>
    <w:rsid w:val="008A5230"/>
    <w:rsid w:val="008A68C3"/>
    <w:rsid w:val="008A6E58"/>
    <w:rsid w:val="008B01F2"/>
    <w:rsid w:val="008B0462"/>
    <w:rsid w:val="008B0795"/>
    <w:rsid w:val="008B1D60"/>
    <w:rsid w:val="008B2151"/>
    <w:rsid w:val="008B4756"/>
    <w:rsid w:val="008B48DC"/>
    <w:rsid w:val="008B4F67"/>
    <w:rsid w:val="008B5AE1"/>
    <w:rsid w:val="008B78B1"/>
    <w:rsid w:val="008C1203"/>
    <w:rsid w:val="008C2052"/>
    <w:rsid w:val="008C3819"/>
    <w:rsid w:val="008C3C85"/>
    <w:rsid w:val="008C4EA6"/>
    <w:rsid w:val="008C583E"/>
    <w:rsid w:val="008C6842"/>
    <w:rsid w:val="008C6CDC"/>
    <w:rsid w:val="008D4F75"/>
    <w:rsid w:val="008D5878"/>
    <w:rsid w:val="008D6424"/>
    <w:rsid w:val="008D6A34"/>
    <w:rsid w:val="008D740C"/>
    <w:rsid w:val="008E1FAE"/>
    <w:rsid w:val="008E6160"/>
    <w:rsid w:val="008F0A27"/>
    <w:rsid w:val="008F2BBF"/>
    <w:rsid w:val="008F33A1"/>
    <w:rsid w:val="008F412A"/>
    <w:rsid w:val="008F4412"/>
    <w:rsid w:val="008F6139"/>
    <w:rsid w:val="008F640A"/>
    <w:rsid w:val="008F6DC8"/>
    <w:rsid w:val="00900452"/>
    <w:rsid w:val="00901F2A"/>
    <w:rsid w:val="00902E38"/>
    <w:rsid w:val="009038DB"/>
    <w:rsid w:val="00905656"/>
    <w:rsid w:val="00910CD5"/>
    <w:rsid w:val="0091138D"/>
    <w:rsid w:val="00911594"/>
    <w:rsid w:val="00913B27"/>
    <w:rsid w:val="00915CA3"/>
    <w:rsid w:val="00916C2E"/>
    <w:rsid w:val="0092010E"/>
    <w:rsid w:val="00921F2F"/>
    <w:rsid w:val="00922081"/>
    <w:rsid w:val="009221E9"/>
    <w:rsid w:val="009239DA"/>
    <w:rsid w:val="00923A79"/>
    <w:rsid w:val="009247BC"/>
    <w:rsid w:val="009251EC"/>
    <w:rsid w:val="00925FFF"/>
    <w:rsid w:val="0093021C"/>
    <w:rsid w:val="009307DB"/>
    <w:rsid w:val="0093278B"/>
    <w:rsid w:val="00933DF5"/>
    <w:rsid w:val="00940945"/>
    <w:rsid w:val="00942125"/>
    <w:rsid w:val="009421DD"/>
    <w:rsid w:val="00942B3B"/>
    <w:rsid w:val="00944336"/>
    <w:rsid w:val="0095015A"/>
    <w:rsid w:val="00954519"/>
    <w:rsid w:val="00955729"/>
    <w:rsid w:val="00960E6A"/>
    <w:rsid w:val="0096216D"/>
    <w:rsid w:val="00962262"/>
    <w:rsid w:val="00963702"/>
    <w:rsid w:val="00963AAD"/>
    <w:rsid w:val="00967AA5"/>
    <w:rsid w:val="009712D7"/>
    <w:rsid w:val="00971756"/>
    <w:rsid w:val="00981BE6"/>
    <w:rsid w:val="009822B0"/>
    <w:rsid w:val="009839B0"/>
    <w:rsid w:val="00984FF5"/>
    <w:rsid w:val="009864B3"/>
    <w:rsid w:val="00987434"/>
    <w:rsid w:val="0099174D"/>
    <w:rsid w:val="00994ABD"/>
    <w:rsid w:val="009952E3"/>
    <w:rsid w:val="00996223"/>
    <w:rsid w:val="00996F0C"/>
    <w:rsid w:val="00997A71"/>
    <w:rsid w:val="00997F9E"/>
    <w:rsid w:val="009A2B35"/>
    <w:rsid w:val="009A3C18"/>
    <w:rsid w:val="009A5308"/>
    <w:rsid w:val="009B0052"/>
    <w:rsid w:val="009B05E9"/>
    <w:rsid w:val="009B34D0"/>
    <w:rsid w:val="009B4716"/>
    <w:rsid w:val="009B6E0A"/>
    <w:rsid w:val="009C03EB"/>
    <w:rsid w:val="009C208A"/>
    <w:rsid w:val="009C7FDF"/>
    <w:rsid w:val="009D2CF7"/>
    <w:rsid w:val="009D4DBB"/>
    <w:rsid w:val="009D735F"/>
    <w:rsid w:val="009D77E3"/>
    <w:rsid w:val="009D7855"/>
    <w:rsid w:val="009E1E02"/>
    <w:rsid w:val="009E3731"/>
    <w:rsid w:val="009E4898"/>
    <w:rsid w:val="009F25E6"/>
    <w:rsid w:val="009F5EF9"/>
    <w:rsid w:val="00A0292F"/>
    <w:rsid w:val="00A03834"/>
    <w:rsid w:val="00A03A53"/>
    <w:rsid w:val="00A03EEE"/>
    <w:rsid w:val="00A03F8B"/>
    <w:rsid w:val="00A04B30"/>
    <w:rsid w:val="00A07373"/>
    <w:rsid w:val="00A103C1"/>
    <w:rsid w:val="00A15B3A"/>
    <w:rsid w:val="00A1711A"/>
    <w:rsid w:val="00A177D6"/>
    <w:rsid w:val="00A22299"/>
    <w:rsid w:val="00A224D8"/>
    <w:rsid w:val="00A23252"/>
    <w:rsid w:val="00A247F8"/>
    <w:rsid w:val="00A25DA5"/>
    <w:rsid w:val="00A2650D"/>
    <w:rsid w:val="00A267BE"/>
    <w:rsid w:val="00A26AC9"/>
    <w:rsid w:val="00A26BBC"/>
    <w:rsid w:val="00A3073F"/>
    <w:rsid w:val="00A310B4"/>
    <w:rsid w:val="00A366ED"/>
    <w:rsid w:val="00A412D0"/>
    <w:rsid w:val="00A42739"/>
    <w:rsid w:val="00A42DE9"/>
    <w:rsid w:val="00A440C8"/>
    <w:rsid w:val="00A50482"/>
    <w:rsid w:val="00A507B3"/>
    <w:rsid w:val="00A51EC5"/>
    <w:rsid w:val="00A52F26"/>
    <w:rsid w:val="00A551DD"/>
    <w:rsid w:val="00A57071"/>
    <w:rsid w:val="00A60151"/>
    <w:rsid w:val="00A6256D"/>
    <w:rsid w:val="00A66063"/>
    <w:rsid w:val="00A70DFB"/>
    <w:rsid w:val="00A72AD4"/>
    <w:rsid w:val="00A73648"/>
    <w:rsid w:val="00A756CA"/>
    <w:rsid w:val="00A76A74"/>
    <w:rsid w:val="00A77150"/>
    <w:rsid w:val="00A77319"/>
    <w:rsid w:val="00A77A49"/>
    <w:rsid w:val="00A77C79"/>
    <w:rsid w:val="00A77E9C"/>
    <w:rsid w:val="00A813C3"/>
    <w:rsid w:val="00A81746"/>
    <w:rsid w:val="00A81DE4"/>
    <w:rsid w:val="00A8525D"/>
    <w:rsid w:val="00A87E01"/>
    <w:rsid w:val="00A91343"/>
    <w:rsid w:val="00A92F01"/>
    <w:rsid w:val="00A92FE0"/>
    <w:rsid w:val="00A938A2"/>
    <w:rsid w:val="00A93D68"/>
    <w:rsid w:val="00A96C3B"/>
    <w:rsid w:val="00A96E68"/>
    <w:rsid w:val="00A9716C"/>
    <w:rsid w:val="00AA27F8"/>
    <w:rsid w:val="00AA3208"/>
    <w:rsid w:val="00AA4741"/>
    <w:rsid w:val="00AA588D"/>
    <w:rsid w:val="00AB2D54"/>
    <w:rsid w:val="00AB37DF"/>
    <w:rsid w:val="00AB4691"/>
    <w:rsid w:val="00AB4E77"/>
    <w:rsid w:val="00AC14AF"/>
    <w:rsid w:val="00AC4850"/>
    <w:rsid w:val="00AC5EBC"/>
    <w:rsid w:val="00AC6831"/>
    <w:rsid w:val="00AD0E20"/>
    <w:rsid w:val="00AD0F1B"/>
    <w:rsid w:val="00AD2049"/>
    <w:rsid w:val="00AD33F4"/>
    <w:rsid w:val="00AD4FA9"/>
    <w:rsid w:val="00AD5828"/>
    <w:rsid w:val="00AE52A3"/>
    <w:rsid w:val="00AF262B"/>
    <w:rsid w:val="00AF2831"/>
    <w:rsid w:val="00AF2B45"/>
    <w:rsid w:val="00AF3889"/>
    <w:rsid w:val="00AF5F33"/>
    <w:rsid w:val="00AF6C79"/>
    <w:rsid w:val="00AF6E14"/>
    <w:rsid w:val="00AF740C"/>
    <w:rsid w:val="00AF74CB"/>
    <w:rsid w:val="00AF7DE1"/>
    <w:rsid w:val="00B01AFE"/>
    <w:rsid w:val="00B025BC"/>
    <w:rsid w:val="00B0296A"/>
    <w:rsid w:val="00B02D7F"/>
    <w:rsid w:val="00B0414B"/>
    <w:rsid w:val="00B047C7"/>
    <w:rsid w:val="00B11E5E"/>
    <w:rsid w:val="00B13D08"/>
    <w:rsid w:val="00B16358"/>
    <w:rsid w:val="00B25774"/>
    <w:rsid w:val="00B26952"/>
    <w:rsid w:val="00B270FF"/>
    <w:rsid w:val="00B277F6"/>
    <w:rsid w:val="00B3013A"/>
    <w:rsid w:val="00B335DA"/>
    <w:rsid w:val="00B3425A"/>
    <w:rsid w:val="00B34506"/>
    <w:rsid w:val="00B37D21"/>
    <w:rsid w:val="00B40D8E"/>
    <w:rsid w:val="00B41DE7"/>
    <w:rsid w:val="00B4265C"/>
    <w:rsid w:val="00B46F3C"/>
    <w:rsid w:val="00B479D0"/>
    <w:rsid w:val="00B51520"/>
    <w:rsid w:val="00B52043"/>
    <w:rsid w:val="00B52B5A"/>
    <w:rsid w:val="00B55149"/>
    <w:rsid w:val="00B563AD"/>
    <w:rsid w:val="00B56DC5"/>
    <w:rsid w:val="00B573D6"/>
    <w:rsid w:val="00B575DB"/>
    <w:rsid w:val="00B57F9E"/>
    <w:rsid w:val="00B63FB5"/>
    <w:rsid w:val="00B650C6"/>
    <w:rsid w:val="00B66A87"/>
    <w:rsid w:val="00B66D28"/>
    <w:rsid w:val="00B67955"/>
    <w:rsid w:val="00B70403"/>
    <w:rsid w:val="00B74521"/>
    <w:rsid w:val="00B76D76"/>
    <w:rsid w:val="00B77318"/>
    <w:rsid w:val="00B77B9E"/>
    <w:rsid w:val="00B77F36"/>
    <w:rsid w:val="00B80658"/>
    <w:rsid w:val="00B819C6"/>
    <w:rsid w:val="00B82744"/>
    <w:rsid w:val="00B872FF"/>
    <w:rsid w:val="00B90C90"/>
    <w:rsid w:val="00B949AA"/>
    <w:rsid w:val="00B95BFC"/>
    <w:rsid w:val="00B95F47"/>
    <w:rsid w:val="00B96199"/>
    <w:rsid w:val="00BA1FA3"/>
    <w:rsid w:val="00BA286B"/>
    <w:rsid w:val="00BA5C76"/>
    <w:rsid w:val="00BA6D24"/>
    <w:rsid w:val="00BA7930"/>
    <w:rsid w:val="00BC06BB"/>
    <w:rsid w:val="00BC1610"/>
    <w:rsid w:val="00BC207C"/>
    <w:rsid w:val="00BC4B2D"/>
    <w:rsid w:val="00BC4E8B"/>
    <w:rsid w:val="00BD1C34"/>
    <w:rsid w:val="00BD3CDE"/>
    <w:rsid w:val="00BD4A19"/>
    <w:rsid w:val="00BD4EB8"/>
    <w:rsid w:val="00BD70AE"/>
    <w:rsid w:val="00BD7356"/>
    <w:rsid w:val="00BD7431"/>
    <w:rsid w:val="00BE0BD1"/>
    <w:rsid w:val="00BE0E68"/>
    <w:rsid w:val="00BE29AC"/>
    <w:rsid w:val="00BE3E3C"/>
    <w:rsid w:val="00BE4F9E"/>
    <w:rsid w:val="00BE560F"/>
    <w:rsid w:val="00BE6414"/>
    <w:rsid w:val="00BE7C42"/>
    <w:rsid w:val="00BF347C"/>
    <w:rsid w:val="00BF3716"/>
    <w:rsid w:val="00BF4341"/>
    <w:rsid w:val="00BF48B2"/>
    <w:rsid w:val="00C0048A"/>
    <w:rsid w:val="00C008E0"/>
    <w:rsid w:val="00C0202E"/>
    <w:rsid w:val="00C020F1"/>
    <w:rsid w:val="00C035A6"/>
    <w:rsid w:val="00C04B7E"/>
    <w:rsid w:val="00C066BF"/>
    <w:rsid w:val="00C06918"/>
    <w:rsid w:val="00C06D6D"/>
    <w:rsid w:val="00C06F8C"/>
    <w:rsid w:val="00C0770C"/>
    <w:rsid w:val="00C078FE"/>
    <w:rsid w:val="00C07F1A"/>
    <w:rsid w:val="00C164FF"/>
    <w:rsid w:val="00C16C02"/>
    <w:rsid w:val="00C17495"/>
    <w:rsid w:val="00C24E43"/>
    <w:rsid w:val="00C30311"/>
    <w:rsid w:val="00C32246"/>
    <w:rsid w:val="00C3339A"/>
    <w:rsid w:val="00C33681"/>
    <w:rsid w:val="00C35251"/>
    <w:rsid w:val="00C3583F"/>
    <w:rsid w:val="00C362FA"/>
    <w:rsid w:val="00C3638A"/>
    <w:rsid w:val="00C3747F"/>
    <w:rsid w:val="00C41801"/>
    <w:rsid w:val="00C42595"/>
    <w:rsid w:val="00C44625"/>
    <w:rsid w:val="00C45C77"/>
    <w:rsid w:val="00C45D11"/>
    <w:rsid w:val="00C472F0"/>
    <w:rsid w:val="00C47843"/>
    <w:rsid w:val="00C51947"/>
    <w:rsid w:val="00C551EE"/>
    <w:rsid w:val="00C55B35"/>
    <w:rsid w:val="00C564B9"/>
    <w:rsid w:val="00C57AAA"/>
    <w:rsid w:val="00C61453"/>
    <w:rsid w:val="00C61C29"/>
    <w:rsid w:val="00C629EC"/>
    <w:rsid w:val="00C642BE"/>
    <w:rsid w:val="00C644C4"/>
    <w:rsid w:val="00C650FC"/>
    <w:rsid w:val="00C65C1E"/>
    <w:rsid w:val="00C66A9F"/>
    <w:rsid w:val="00C7074F"/>
    <w:rsid w:val="00C70BC6"/>
    <w:rsid w:val="00C73C62"/>
    <w:rsid w:val="00C750A7"/>
    <w:rsid w:val="00C75952"/>
    <w:rsid w:val="00C7615B"/>
    <w:rsid w:val="00C7673E"/>
    <w:rsid w:val="00C80312"/>
    <w:rsid w:val="00C80F35"/>
    <w:rsid w:val="00C829BF"/>
    <w:rsid w:val="00C82FA7"/>
    <w:rsid w:val="00C8404F"/>
    <w:rsid w:val="00C84202"/>
    <w:rsid w:val="00C84394"/>
    <w:rsid w:val="00C853F6"/>
    <w:rsid w:val="00C86C58"/>
    <w:rsid w:val="00C86ECE"/>
    <w:rsid w:val="00C93449"/>
    <w:rsid w:val="00C956BF"/>
    <w:rsid w:val="00CA1572"/>
    <w:rsid w:val="00CA2DB1"/>
    <w:rsid w:val="00CA604E"/>
    <w:rsid w:val="00CB2337"/>
    <w:rsid w:val="00CB24C8"/>
    <w:rsid w:val="00CB4B9A"/>
    <w:rsid w:val="00CB59B6"/>
    <w:rsid w:val="00CB683B"/>
    <w:rsid w:val="00CC19A2"/>
    <w:rsid w:val="00CC465B"/>
    <w:rsid w:val="00CC499F"/>
    <w:rsid w:val="00CD1079"/>
    <w:rsid w:val="00CD2142"/>
    <w:rsid w:val="00CD381B"/>
    <w:rsid w:val="00CE14D6"/>
    <w:rsid w:val="00CE5077"/>
    <w:rsid w:val="00CE6319"/>
    <w:rsid w:val="00CE6E61"/>
    <w:rsid w:val="00CF0BD6"/>
    <w:rsid w:val="00CF17FB"/>
    <w:rsid w:val="00CF41BF"/>
    <w:rsid w:val="00CF431C"/>
    <w:rsid w:val="00CF495D"/>
    <w:rsid w:val="00CF561F"/>
    <w:rsid w:val="00CF6692"/>
    <w:rsid w:val="00CF695A"/>
    <w:rsid w:val="00CF7ED9"/>
    <w:rsid w:val="00D006D2"/>
    <w:rsid w:val="00D00D48"/>
    <w:rsid w:val="00D0263C"/>
    <w:rsid w:val="00D07656"/>
    <w:rsid w:val="00D07C8A"/>
    <w:rsid w:val="00D11B85"/>
    <w:rsid w:val="00D1210C"/>
    <w:rsid w:val="00D12924"/>
    <w:rsid w:val="00D14A92"/>
    <w:rsid w:val="00D14DD7"/>
    <w:rsid w:val="00D16762"/>
    <w:rsid w:val="00D17A68"/>
    <w:rsid w:val="00D20818"/>
    <w:rsid w:val="00D221B0"/>
    <w:rsid w:val="00D22E26"/>
    <w:rsid w:val="00D22F9C"/>
    <w:rsid w:val="00D2370B"/>
    <w:rsid w:val="00D24FCA"/>
    <w:rsid w:val="00D263D3"/>
    <w:rsid w:val="00D276E9"/>
    <w:rsid w:val="00D306CF"/>
    <w:rsid w:val="00D3209C"/>
    <w:rsid w:val="00D3319B"/>
    <w:rsid w:val="00D3356B"/>
    <w:rsid w:val="00D33A44"/>
    <w:rsid w:val="00D33B8F"/>
    <w:rsid w:val="00D34465"/>
    <w:rsid w:val="00D34CB2"/>
    <w:rsid w:val="00D3576B"/>
    <w:rsid w:val="00D367C0"/>
    <w:rsid w:val="00D41240"/>
    <w:rsid w:val="00D42B7B"/>
    <w:rsid w:val="00D4303F"/>
    <w:rsid w:val="00D4680D"/>
    <w:rsid w:val="00D476C0"/>
    <w:rsid w:val="00D501F5"/>
    <w:rsid w:val="00D504EE"/>
    <w:rsid w:val="00D60253"/>
    <w:rsid w:val="00D623EC"/>
    <w:rsid w:val="00D62E14"/>
    <w:rsid w:val="00D63229"/>
    <w:rsid w:val="00D63439"/>
    <w:rsid w:val="00D6521B"/>
    <w:rsid w:val="00D663A6"/>
    <w:rsid w:val="00D66B6D"/>
    <w:rsid w:val="00D703BF"/>
    <w:rsid w:val="00D7066E"/>
    <w:rsid w:val="00D70D00"/>
    <w:rsid w:val="00D736A0"/>
    <w:rsid w:val="00D80E6F"/>
    <w:rsid w:val="00D80EDC"/>
    <w:rsid w:val="00D8146B"/>
    <w:rsid w:val="00D84109"/>
    <w:rsid w:val="00D854E9"/>
    <w:rsid w:val="00D8774E"/>
    <w:rsid w:val="00D90A26"/>
    <w:rsid w:val="00D92D28"/>
    <w:rsid w:val="00D93436"/>
    <w:rsid w:val="00D938A6"/>
    <w:rsid w:val="00D94AD0"/>
    <w:rsid w:val="00D95B47"/>
    <w:rsid w:val="00DA32B7"/>
    <w:rsid w:val="00DA37C0"/>
    <w:rsid w:val="00DA4063"/>
    <w:rsid w:val="00DA59FC"/>
    <w:rsid w:val="00DA5FE5"/>
    <w:rsid w:val="00DB22CF"/>
    <w:rsid w:val="00DB3D56"/>
    <w:rsid w:val="00DB6F76"/>
    <w:rsid w:val="00DC1693"/>
    <w:rsid w:val="00DC2FE7"/>
    <w:rsid w:val="00DC3FDF"/>
    <w:rsid w:val="00DC4576"/>
    <w:rsid w:val="00DC62A6"/>
    <w:rsid w:val="00DC751D"/>
    <w:rsid w:val="00DC7BA1"/>
    <w:rsid w:val="00DD06BD"/>
    <w:rsid w:val="00DD07AD"/>
    <w:rsid w:val="00DD3FF7"/>
    <w:rsid w:val="00DD56D8"/>
    <w:rsid w:val="00DD6069"/>
    <w:rsid w:val="00DE128D"/>
    <w:rsid w:val="00DE1F9E"/>
    <w:rsid w:val="00DE3D65"/>
    <w:rsid w:val="00DE3DE7"/>
    <w:rsid w:val="00DE5C3B"/>
    <w:rsid w:val="00DE6AD2"/>
    <w:rsid w:val="00DE78DF"/>
    <w:rsid w:val="00DF05BF"/>
    <w:rsid w:val="00DF251B"/>
    <w:rsid w:val="00DF2834"/>
    <w:rsid w:val="00DF2A11"/>
    <w:rsid w:val="00DF351D"/>
    <w:rsid w:val="00DF3955"/>
    <w:rsid w:val="00DF488C"/>
    <w:rsid w:val="00DF4DD4"/>
    <w:rsid w:val="00DF62B4"/>
    <w:rsid w:val="00DF6519"/>
    <w:rsid w:val="00DF6FEE"/>
    <w:rsid w:val="00E00725"/>
    <w:rsid w:val="00E00DE9"/>
    <w:rsid w:val="00E01A8B"/>
    <w:rsid w:val="00E02D5D"/>
    <w:rsid w:val="00E05131"/>
    <w:rsid w:val="00E05FF8"/>
    <w:rsid w:val="00E07FCD"/>
    <w:rsid w:val="00E115E0"/>
    <w:rsid w:val="00E14682"/>
    <w:rsid w:val="00E14C78"/>
    <w:rsid w:val="00E204D6"/>
    <w:rsid w:val="00E20EC6"/>
    <w:rsid w:val="00E2269E"/>
    <w:rsid w:val="00E2359D"/>
    <w:rsid w:val="00E23C84"/>
    <w:rsid w:val="00E253A5"/>
    <w:rsid w:val="00E25DFE"/>
    <w:rsid w:val="00E3157D"/>
    <w:rsid w:val="00E327E5"/>
    <w:rsid w:val="00E342C9"/>
    <w:rsid w:val="00E36BBB"/>
    <w:rsid w:val="00E41A89"/>
    <w:rsid w:val="00E42AC3"/>
    <w:rsid w:val="00E43863"/>
    <w:rsid w:val="00E4481C"/>
    <w:rsid w:val="00E45EED"/>
    <w:rsid w:val="00E47C67"/>
    <w:rsid w:val="00E47F02"/>
    <w:rsid w:val="00E50903"/>
    <w:rsid w:val="00E528A7"/>
    <w:rsid w:val="00E54440"/>
    <w:rsid w:val="00E56226"/>
    <w:rsid w:val="00E56CE4"/>
    <w:rsid w:val="00E57697"/>
    <w:rsid w:val="00E61F9B"/>
    <w:rsid w:val="00E62D17"/>
    <w:rsid w:val="00E6309E"/>
    <w:rsid w:val="00E7403A"/>
    <w:rsid w:val="00E80563"/>
    <w:rsid w:val="00E8206C"/>
    <w:rsid w:val="00E8460B"/>
    <w:rsid w:val="00E84A07"/>
    <w:rsid w:val="00E8652E"/>
    <w:rsid w:val="00E87582"/>
    <w:rsid w:val="00E878C7"/>
    <w:rsid w:val="00E9127D"/>
    <w:rsid w:val="00E91F00"/>
    <w:rsid w:val="00E92979"/>
    <w:rsid w:val="00E92998"/>
    <w:rsid w:val="00E951F0"/>
    <w:rsid w:val="00E95514"/>
    <w:rsid w:val="00E95D25"/>
    <w:rsid w:val="00EA135F"/>
    <w:rsid w:val="00EA2DF9"/>
    <w:rsid w:val="00EA3823"/>
    <w:rsid w:val="00EA7016"/>
    <w:rsid w:val="00EB6909"/>
    <w:rsid w:val="00EB722D"/>
    <w:rsid w:val="00EB79A5"/>
    <w:rsid w:val="00EC16D4"/>
    <w:rsid w:val="00EC20D4"/>
    <w:rsid w:val="00EC42F9"/>
    <w:rsid w:val="00EC5552"/>
    <w:rsid w:val="00EC5E5B"/>
    <w:rsid w:val="00EC607E"/>
    <w:rsid w:val="00ED0314"/>
    <w:rsid w:val="00ED1392"/>
    <w:rsid w:val="00ED1985"/>
    <w:rsid w:val="00ED1D16"/>
    <w:rsid w:val="00ED2818"/>
    <w:rsid w:val="00ED28B1"/>
    <w:rsid w:val="00ED3911"/>
    <w:rsid w:val="00ED3CFA"/>
    <w:rsid w:val="00ED40B8"/>
    <w:rsid w:val="00ED49B5"/>
    <w:rsid w:val="00ED4A98"/>
    <w:rsid w:val="00EE0C4D"/>
    <w:rsid w:val="00EE386B"/>
    <w:rsid w:val="00EE5CD4"/>
    <w:rsid w:val="00EF0ACE"/>
    <w:rsid w:val="00EF0F42"/>
    <w:rsid w:val="00EF1A68"/>
    <w:rsid w:val="00EF342E"/>
    <w:rsid w:val="00EF6268"/>
    <w:rsid w:val="00EF66F9"/>
    <w:rsid w:val="00F030FA"/>
    <w:rsid w:val="00F033CB"/>
    <w:rsid w:val="00F05FA5"/>
    <w:rsid w:val="00F067CD"/>
    <w:rsid w:val="00F06E9A"/>
    <w:rsid w:val="00F10097"/>
    <w:rsid w:val="00F1023E"/>
    <w:rsid w:val="00F102C0"/>
    <w:rsid w:val="00F10C57"/>
    <w:rsid w:val="00F168C4"/>
    <w:rsid w:val="00F22C23"/>
    <w:rsid w:val="00F239E3"/>
    <w:rsid w:val="00F25518"/>
    <w:rsid w:val="00F2748A"/>
    <w:rsid w:val="00F30C3F"/>
    <w:rsid w:val="00F32D04"/>
    <w:rsid w:val="00F33206"/>
    <w:rsid w:val="00F34996"/>
    <w:rsid w:val="00F3562C"/>
    <w:rsid w:val="00F36A29"/>
    <w:rsid w:val="00F36ECD"/>
    <w:rsid w:val="00F401B1"/>
    <w:rsid w:val="00F411A7"/>
    <w:rsid w:val="00F411C7"/>
    <w:rsid w:val="00F41CED"/>
    <w:rsid w:val="00F4204A"/>
    <w:rsid w:val="00F420A0"/>
    <w:rsid w:val="00F43578"/>
    <w:rsid w:val="00F45D7A"/>
    <w:rsid w:val="00F51B88"/>
    <w:rsid w:val="00F554C0"/>
    <w:rsid w:val="00F60C59"/>
    <w:rsid w:val="00F61569"/>
    <w:rsid w:val="00F63DD7"/>
    <w:rsid w:val="00F66EB7"/>
    <w:rsid w:val="00F776BB"/>
    <w:rsid w:val="00F80071"/>
    <w:rsid w:val="00F80F74"/>
    <w:rsid w:val="00F81439"/>
    <w:rsid w:val="00F815EA"/>
    <w:rsid w:val="00F844F8"/>
    <w:rsid w:val="00F84B2D"/>
    <w:rsid w:val="00F84E9A"/>
    <w:rsid w:val="00F85EFB"/>
    <w:rsid w:val="00F87B5D"/>
    <w:rsid w:val="00F91C03"/>
    <w:rsid w:val="00F95740"/>
    <w:rsid w:val="00F97CD9"/>
    <w:rsid w:val="00FA1FBE"/>
    <w:rsid w:val="00FA1FF5"/>
    <w:rsid w:val="00FA3396"/>
    <w:rsid w:val="00FA4529"/>
    <w:rsid w:val="00FB1793"/>
    <w:rsid w:val="00FB19F5"/>
    <w:rsid w:val="00FB2369"/>
    <w:rsid w:val="00FB3637"/>
    <w:rsid w:val="00FB70B4"/>
    <w:rsid w:val="00FB7267"/>
    <w:rsid w:val="00FB7ACF"/>
    <w:rsid w:val="00FC1AC8"/>
    <w:rsid w:val="00FC1C78"/>
    <w:rsid w:val="00FC4848"/>
    <w:rsid w:val="00FC69F3"/>
    <w:rsid w:val="00FC6A48"/>
    <w:rsid w:val="00FC6F71"/>
    <w:rsid w:val="00FC73E4"/>
    <w:rsid w:val="00FC7E88"/>
    <w:rsid w:val="00FD0247"/>
    <w:rsid w:val="00FD1AC3"/>
    <w:rsid w:val="00FD20B6"/>
    <w:rsid w:val="00FD2352"/>
    <w:rsid w:val="00FD37CC"/>
    <w:rsid w:val="00FD47B7"/>
    <w:rsid w:val="00FD6409"/>
    <w:rsid w:val="00FE0359"/>
    <w:rsid w:val="00FE064D"/>
    <w:rsid w:val="00FE1596"/>
    <w:rsid w:val="00FE1BA5"/>
    <w:rsid w:val="00FE239A"/>
    <w:rsid w:val="00FE485B"/>
    <w:rsid w:val="00FE558F"/>
    <w:rsid w:val="00FE59A1"/>
    <w:rsid w:val="00FE7A9A"/>
    <w:rsid w:val="00FE7F01"/>
    <w:rsid w:val="00FF2407"/>
    <w:rsid w:val="00FF24B2"/>
    <w:rsid w:val="00FF2EA6"/>
    <w:rsid w:val="00FF3900"/>
    <w:rsid w:val="00FF3DA6"/>
    <w:rsid w:val="00FF62E6"/>
    <w:rsid w:val="00FF77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62980EF"/>
  <w15:docId w15:val="{4E237B26-DE04-487E-9F76-A4E01E121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1655B1"/>
    <w:pPr>
      <w:spacing w:before="100" w:beforeAutospacing="1" w:after="100" w:afterAutospacing="1" w:line="240" w:lineRule="auto"/>
      <w:outlineLvl w:val="0"/>
    </w:pPr>
    <w:rPr>
      <w:rFonts w:ascii="Times" w:hAnsi="Times"/>
      <w:b/>
      <w:bCs/>
      <w:kern w:val="36"/>
      <w:sz w:val="48"/>
      <w:szCs w:val="48"/>
    </w:rPr>
  </w:style>
  <w:style w:type="paragraph" w:styleId="Heading2">
    <w:name w:val="heading 2"/>
    <w:basedOn w:val="Normal"/>
    <w:next w:val="Normal"/>
    <w:link w:val="Heading2Char"/>
    <w:uiPriority w:val="9"/>
    <w:semiHidden/>
    <w:unhideWhenUsed/>
    <w:qFormat/>
    <w:rsid w:val="0054559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F4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41BF"/>
    <w:rPr>
      <w:rFonts w:ascii="Tahoma" w:hAnsi="Tahoma" w:cs="Tahoma"/>
      <w:sz w:val="16"/>
      <w:szCs w:val="16"/>
    </w:rPr>
  </w:style>
  <w:style w:type="paragraph" w:styleId="Header">
    <w:name w:val="header"/>
    <w:basedOn w:val="Normal"/>
    <w:link w:val="HeaderChar"/>
    <w:uiPriority w:val="99"/>
    <w:unhideWhenUsed/>
    <w:rsid w:val="00521B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1B64"/>
  </w:style>
  <w:style w:type="paragraph" w:styleId="Footer">
    <w:name w:val="footer"/>
    <w:basedOn w:val="Normal"/>
    <w:link w:val="FooterChar"/>
    <w:uiPriority w:val="99"/>
    <w:unhideWhenUsed/>
    <w:rsid w:val="00521B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1B64"/>
  </w:style>
  <w:style w:type="paragraph" w:styleId="ListParagraph">
    <w:name w:val="List Paragraph"/>
    <w:basedOn w:val="Normal"/>
    <w:link w:val="ListParagraphChar"/>
    <w:uiPriority w:val="99"/>
    <w:qFormat/>
    <w:rsid w:val="009307DB"/>
    <w:pPr>
      <w:ind w:left="720"/>
      <w:contextualSpacing/>
    </w:pPr>
  </w:style>
  <w:style w:type="paragraph" w:customStyle="1" w:styleId="Default">
    <w:name w:val="Default"/>
    <w:rsid w:val="00F22C23"/>
    <w:pPr>
      <w:widowControl w:val="0"/>
      <w:autoSpaceDE w:val="0"/>
      <w:autoSpaceDN w:val="0"/>
      <w:adjustRightInd w:val="0"/>
      <w:spacing w:after="0" w:line="240" w:lineRule="auto"/>
    </w:pPr>
    <w:rPr>
      <w:rFonts w:ascii="Arial Narrow" w:hAnsi="Arial Narrow" w:cs="Arial Narrow"/>
      <w:color w:val="000000"/>
      <w:sz w:val="24"/>
      <w:szCs w:val="24"/>
    </w:rPr>
  </w:style>
  <w:style w:type="character" w:customStyle="1" w:styleId="apple-converted-space">
    <w:name w:val="apple-converted-space"/>
    <w:basedOn w:val="DefaultParagraphFont"/>
    <w:rsid w:val="002F26DB"/>
  </w:style>
  <w:style w:type="character" w:styleId="Hyperlink">
    <w:name w:val="Hyperlink"/>
    <w:basedOn w:val="DefaultParagraphFont"/>
    <w:uiPriority w:val="99"/>
    <w:unhideWhenUsed/>
    <w:rsid w:val="002F26DB"/>
    <w:rPr>
      <w:color w:val="0000FF"/>
      <w:u w:val="single"/>
    </w:rPr>
  </w:style>
  <w:style w:type="character" w:customStyle="1" w:styleId="Heading1Char">
    <w:name w:val="Heading 1 Char"/>
    <w:basedOn w:val="DefaultParagraphFont"/>
    <w:link w:val="Heading1"/>
    <w:uiPriority w:val="9"/>
    <w:rsid w:val="001655B1"/>
    <w:rPr>
      <w:rFonts w:ascii="Times" w:hAnsi="Times"/>
      <w:b/>
      <w:bCs/>
      <w:kern w:val="36"/>
      <w:sz w:val="48"/>
      <w:szCs w:val="48"/>
    </w:rPr>
  </w:style>
  <w:style w:type="character" w:customStyle="1" w:styleId="a-size-large">
    <w:name w:val="a-size-large"/>
    <w:basedOn w:val="DefaultParagraphFont"/>
    <w:rsid w:val="001655B1"/>
  </w:style>
  <w:style w:type="character" w:customStyle="1" w:styleId="Heading2Char">
    <w:name w:val="Heading 2 Char"/>
    <w:basedOn w:val="DefaultParagraphFont"/>
    <w:link w:val="Heading2"/>
    <w:uiPriority w:val="9"/>
    <w:semiHidden/>
    <w:rsid w:val="00545590"/>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semiHidden/>
    <w:unhideWhenUsed/>
    <w:rsid w:val="00352547"/>
    <w:pPr>
      <w:spacing w:before="100" w:beforeAutospacing="1" w:after="100" w:afterAutospacing="1" w:line="240" w:lineRule="auto"/>
    </w:pPr>
    <w:rPr>
      <w:rFonts w:ascii="Times" w:hAnsi="Times" w:cs="Times New Roman"/>
      <w:sz w:val="20"/>
      <w:szCs w:val="20"/>
    </w:rPr>
  </w:style>
  <w:style w:type="character" w:styleId="Emphasis">
    <w:name w:val="Emphasis"/>
    <w:basedOn w:val="DefaultParagraphFont"/>
    <w:uiPriority w:val="20"/>
    <w:qFormat/>
    <w:rsid w:val="001C67C8"/>
    <w:rPr>
      <w:i/>
      <w:iCs/>
    </w:rPr>
  </w:style>
  <w:style w:type="character" w:styleId="FollowedHyperlink">
    <w:name w:val="FollowedHyperlink"/>
    <w:basedOn w:val="DefaultParagraphFont"/>
    <w:uiPriority w:val="99"/>
    <w:semiHidden/>
    <w:unhideWhenUsed/>
    <w:rsid w:val="0076237C"/>
    <w:rPr>
      <w:color w:val="800080" w:themeColor="followedHyperlink"/>
      <w:u w:val="single"/>
    </w:rPr>
  </w:style>
  <w:style w:type="character" w:styleId="Strong">
    <w:name w:val="Strong"/>
    <w:basedOn w:val="DefaultParagraphFont"/>
    <w:uiPriority w:val="22"/>
    <w:qFormat/>
    <w:rsid w:val="00E327E5"/>
    <w:rPr>
      <w:b/>
      <w:bCs/>
    </w:rPr>
  </w:style>
  <w:style w:type="paragraph" w:styleId="BodyText">
    <w:name w:val="Body Text"/>
    <w:basedOn w:val="Normal"/>
    <w:link w:val="BodyTextChar"/>
    <w:uiPriority w:val="1"/>
    <w:qFormat/>
    <w:rsid w:val="008B0462"/>
    <w:pPr>
      <w:widowControl w:val="0"/>
      <w:spacing w:after="0" w:line="240" w:lineRule="auto"/>
      <w:ind w:left="243" w:hanging="144"/>
    </w:pPr>
    <w:rPr>
      <w:rFonts w:ascii="Arial" w:eastAsia="Arial" w:hAnsi="Arial"/>
      <w:sz w:val="19"/>
      <w:szCs w:val="19"/>
    </w:rPr>
  </w:style>
  <w:style w:type="character" w:customStyle="1" w:styleId="BodyTextChar">
    <w:name w:val="Body Text Char"/>
    <w:basedOn w:val="DefaultParagraphFont"/>
    <w:link w:val="BodyText"/>
    <w:uiPriority w:val="1"/>
    <w:rsid w:val="008B0462"/>
    <w:rPr>
      <w:rFonts w:ascii="Arial" w:eastAsia="Arial" w:hAnsi="Arial"/>
      <w:sz w:val="19"/>
      <w:szCs w:val="19"/>
    </w:rPr>
  </w:style>
  <w:style w:type="character" w:customStyle="1" w:styleId="ListParagraphChar">
    <w:name w:val="List Paragraph Char"/>
    <w:basedOn w:val="DefaultParagraphFont"/>
    <w:link w:val="ListParagraph"/>
    <w:uiPriority w:val="99"/>
    <w:locked/>
    <w:rsid w:val="00FB7267"/>
  </w:style>
  <w:style w:type="paragraph" w:customStyle="1" w:styleId="EMSSubHeading">
    <w:name w:val="EMS Sub Heading"/>
    <w:link w:val="EMSSubHeadingChar"/>
    <w:uiPriority w:val="99"/>
    <w:rsid w:val="001C7DF8"/>
    <w:pPr>
      <w:overflowPunct w:val="0"/>
      <w:autoSpaceDE w:val="0"/>
      <w:autoSpaceDN w:val="0"/>
      <w:adjustRightInd w:val="0"/>
      <w:spacing w:after="0" w:line="240" w:lineRule="auto"/>
      <w:textAlignment w:val="baseline"/>
    </w:pPr>
    <w:rPr>
      <w:rFonts w:ascii="Arial" w:eastAsia="Times New Roman" w:hAnsi="Arial" w:cs="Times New Roman"/>
      <w:b/>
      <w:noProof/>
      <w:sz w:val="24"/>
      <w:szCs w:val="20"/>
    </w:rPr>
  </w:style>
  <w:style w:type="character" w:customStyle="1" w:styleId="EMSSubHeadingChar">
    <w:name w:val="EMS Sub Heading Char"/>
    <w:link w:val="EMSSubHeading"/>
    <w:uiPriority w:val="99"/>
    <w:locked/>
    <w:rsid w:val="001C7DF8"/>
    <w:rPr>
      <w:rFonts w:ascii="Arial" w:eastAsia="Times New Roman" w:hAnsi="Arial" w:cs="Times New Roman"/>
      <w:b/>
      <w:noProof/>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128262">
      <w:bodyDiv w:val="1"/>
      <w:marLeft w:val="0"/>
      <w:marRight w:val="0"/>
      <w:marTop w:val="0"/>
      <w:marBottom w:val="0"/>
      <w:divBdr>
        <w:top w:val="none" w:sz="0" w:space="0" w:color="auto"/>
        <w:left w:val="none" w:sz="0" w:space="0" w:color="auto"/>
        <w:bottom w:val="none" w:sz="0" w:space="0" w:color="auto"/>
        <w:right w:val="none" w:sz="0" w:space="0" w:color="auto"/>
      </w:divBdr>
    </w:div>
    <w:div w:id="28723457">
      <w:bodyDiv w:val="1"/>
      <w:marLeft w:val="0"/>
      <w:marRight w:val="0"/>
      <w:marTop w:val="0"/>
      <w:marBottom w:val="0"/>
      <w:divBdr>
        <w:top w:val="none" w:sz="0" w:space="0" w:color="auto"/>
        <w:left w:val="none" w:sz="0" w:space="0" w:color="auto"/>
        <w:bottom w:val="none" w:sz="0" w:space="0" w:color="auto"/>
        <w:right w:val="none" w:sz="0" w:space="0" w:color="auto"/>
      </w:divBdr>
    </w:div>
    <w:div w:id="31610652">
      <w:bodyDiv w:val="1"/>
      <w:marLeft w:val="0"/>
      <w:marRight w:val="0"/>
      <w:marTop w:val="0"/>
      <w:marBottom w:val="0"/>
      <w:divBdr>
        <w:top w:val="none" w:sz="0" w:space="0" w:color="auto"/>
        <w:left w:val="none" w:sz="0" w:space="0" w:color="auto"/>
        <w:bottom w:val="none" w:sz="0" w:space="0" w:color="auto"/>
        <w:right w:val="none" w:sz="0" w:space="0" w:color="auto"/>
      </w:divBdr>
    </w:div>
    <w:div w:id="50352187">
      <w:bodyDiv w:val="1"/>
      <w:marLeft w:val="0"/>
      <w:marRight w:val="0"/>
      <w:marTop w:val="0"/>
      <w:marBottom w:val="0"/>
      <w:divBdr>
        <w:top w:val="none" w:sz="0" w:space="0" w:color="auto"/>
        <w:left w:val="none" w:sz="0" w:space="0" w:color="auto"/>
        <w:bottom w:val="none" w:sz="0" w:space="0" w:color="auto"/>
        <w:right w:val="none" w:sz="0" w:space="0" w:color="auto"/>
      </w:divBdr>
    </w:div>
    <w:div w:id="138427728">
      <w:bodyDiv w:val="1"/>
      <w:marLeft w:val="0"/>
      <w:marRight w:val="0"/>
      <w:marTop w:val="0"/>
      <w:marBottom w:val="0"/>
      <w:divBdr>
        <w:top w:val="none" w:sz="0" w:space="0" w:color="auto"/>
        <w:left w:val="none" w:sz="0" w:space="0" w:color="auto"/>
        <w:bottom w:val="none" w:sz="0" w:space="0" w:color="auto"/>
        <w:right w:val="none" w:sz="0" w:space="0" w:color="auto"/>
      </w:divBdr>
    </w:div>
    <w:div w:id="195123568">
      <w:bodyDiv w:val="1"/>
      <w:marLeft w:val="0"/>
      <w:marRight w:val="0"/>
      <w:marTop w:val="0"/>
      <w:marBottom w:val="0"/>
      <w:divBdr>
        <w:top w:val="none" w:sz="0" w:space="0" w:color="auto"/>
        <w:left w:val="none" w:sz="0" w:space="0" w:color="auto"/>
        <w:bottom w:val="none" w:sz="0" w:space="0" w:color="auto"/>
        <w:right w:val="none" w:sz="0" w:space="0" w:color="auto"/>
      </w:divBdr>
    </w:div>
    <w:div w:id="393898930">
      <w:bodyDiv w:val="1"/>
      <w:marLeft w:val="0"/>
      <w:marRight w:val="0"/>
      <w:marTop w:val="0"/>
      <w:marBottom w:val="0"/>
      <w:divBdr>
        <w:top w:val="none" w:sz="0" w:space="0" w:color="auto"/>
        <w:left w:val="none" w:sz="0" w:space="0" w:color="auto"/>
        <w:bottom w:val="none" w:sz="0" w:space="0" w:color="auto"/>
        <w:right w:val="none" w:sz="0" w:space="0" w:color="auto"/>
      </w:divBdr>
    </w:div>
    <w:div w:id="425661856">
      <w:bodyDiv w:val="1"/>
      <w:marLeft w:val="0"/>
      <w:marRight w:val="0"/>
      <w:marTop w:val="0"/>
      <w:marBottom w:val="0"/>
      <w:divBdr>
        <w:top w:val="none" w:sz="0" w:space="0" w:color="auto"/>
        <w:left w:val="none" w:sz="0" w:space="0" w:color="auto"/>
        <w:bottom w:val="none" w:sz="0" w:space="0" w:color="auto"/>
        <w:right w:val="none" w:sz="0" w:space="0" w:color="auto"/>
      </w:divBdr>
    </w:div>
    <w:div w:id="511846929">
      <w:bodyDiv w:val="1"/>
      <w:marLeft w:val="0"/>
      <w:marRight w:val="0"/>
      <w:marTop w:val="0"/>
      <w:marBottom w:val="0"/>
      <w:divBdr>
        <w:top w:val="none" w:sz="0" w:space="0" w:color="auto"/>
        <w:left w:val="none" w:sz="0" w:space="0" w:color="auto"/>
        <w:bottom w:val="none" w:sz="0" w:space="0" w:color="auto"/>
        <w:right w:val="none" w:sz="0" w:space="0" w:color="auto"/>
      </w:divBdr>
    </w:div>
    <w:div w:id="660236226">
      <w:bodyDiv w:val="1"/>
      <w:marLeft w:val="0"/>
      <w:marRight w:val="0"/>
      <w:marTop w:val="0"/>
      <w:marBottom w:val="0"/>
      <w:divBdr>
        <w:top w:val="none" w:sz="0" w:space="0" w:color="auto"/>
        <w:left w:val="none" w:sz="0" w:space="0" w:color="auto"/>
        <w:bottom w:val="none" w:sz="0" w:space="0" w:color="auto"/>
        <w:right w:val="none" w:sz="0" w:space="0" w:color="auto"/>
      </w:divBdr>
      <w:divsChild>
        <w:div w:id="239679831">
          <w:marLeft w:val="547"/>
          <w:marRight w:val="0"/>
          <w:marTop w:val="154"/>
          <w:marBottom w:val="0"/>
          <w:divBdr>
            <w:top w:val="none" w:sz="0" w:space="0" w:color="auto"/>
            <w:left w:val="none" w:sz="0" w:space="0" w:color="auto"/>
            <w:bottom w:val="none" w:sz="0" w:space="0" w:color="auto"/>
            <w:right w:val="none" w:sz="0" w:space="0" w:color="auto"/>
          </w:divBdr>
        </w:div>
        <w:div w:id="1996953197">
          <w:marLeft w:val="547"/>
          <w:marRight w:val="0"/>
          <w:marTop w:val="154"/>
          <w:marBottom w:val="0"/>
          <w:divBdr>
            <w:top w:val="none" w:sz="0" w:space="0" w:color="auto"/>
            <w:left w:val="none" w:sz="0" w:space="0" w:color="auto"/>
            <w:bottom w:val="none" w:sz="0" w:space="0" w:color="auto"/>
            <w:right w:val="none" w:sz="0" w:space="0" w:color="auto"/>
          </w:divBdr>
        </w:div>
        <w:div w:id="290326593">
          <w:marLeft w:val="547"/>
          <w:marRight w:val="0"/>
          <w:marTop w:val="154"/>
          <w:marBottom w:val="0"/>
          <w:divBdr>
            <w:top w:val="none" w:sz="0" w:space="0" w:color="auto"/>
            <w:left w:val="none" w:sz="0" w:space="0" w:color="auto"/>
            <w:bottom w:val="none" w:sz="0" w:space="0" w:color="auto"/>
            <w:right w:val="none" w:sz="0" w:space="0" w:color="auto"/>
          </w:divBdr>
        </w:div>
        <w:div w:id="1086733057">
          <w:marLeft w:val="547"/>
          <w:marRight w:val="0"/>
          <w:marTop w:val="154"/>
          <w:marBottom w:val="0"/>
          <w:divBdr>
            <w:top w:val="none" w:sz="0" w:space="0" w:color="auto"/>
            <w:left w:val="none" w:sz="0" w:space="0" w:color="auto"/>
            <w:bottom w:val="none" w:sz="0" w:space="0" w:color="auto"/>
            <w:right w:val="none" w:sz="0" w:space="0" w:color="auto"/>
          </w:divBdr>
        </w:div>
      </w:divsChild>
    </w:div>
    <w:div w:id="688600857">
      <w:bodyDiv w:val="1"/>
      <w:marLeft w:val="0"/>
      <w:marRight w:val="0"/>
      <w:marTop w:val="0"/>
      <w:marBottom w:val="0"/>
      <w:divBdr>
        <w:top w:val="none" w:sz="0" w:space="0" w:color="auto"/>
        <w:left w:val="none" w:sz="0" w:space="0" w:color="auto"/>
        <w:bottom w:val="none" w:sz="0" w:space="0" w:color="auto"/>
        <w:right w:val="none" w:sz="0" w:space="0" w:color="auto"/>
      </w:divBdr>
      <w:divsChild>
        <w:div w:id="1017270242">
          <w:marLeft w:val="0"/>
          <w:marRight w:val="0"/>
          <w:marTop w:val="0"/>
          <w:marBottom w:val="0"/>
          <w:divBdr>
            <w:top w:val="none" w:sz="0" w:space="0" w:color="auto"/>
            <w:left w:val="none" w:sz="0" w:space="0" w:color="auto"/>
            <w:bottom w:val="none" w:sz="0" w:space="0" w:color="auto"/>
            <w:right w:val="none" w:sz="0" w:space="0" w:color="auto"/>
          </w:divBdr>
          <w:divsChild>
            <w:div w:id="1918899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377297">
      <w:bodyDiv w:val="1"/>
      <w:marLeft w:val="0"/>
      <w:marRight w:val="0"/>
      <w:marTop w:val="0"/>
      <w:marBottom w:val="0"/>
      <w:divBdr>
        <w:top w:val="none" w:sz="0" w:space="0" w:color="auto"/>
        <w:left w:val="none" w:sz="0" w:space="0" w:color="auto"/>
        <w:bottom w:val="none" w:sz="0" w:space="0" w:color="auto"/>
        <w:right w:val="none" w:sz="0" w:space="0" w:color="auto"/>
      </w:divBdr>
      <w:divsChild>
        <w:div w:id="1291476452">
          <w:marLeft w:val="0"/>
          <w:marRight w:val="0"/>
          <w:marTop w:val="0"/>
          <w:marBottom w:val="0"/>
          <w:divBdr>
            <w:top w:val="none" w:sz="0" w:space="0" w:color="auto"/>
            <w:left w:val="none" w:sz="0" w:space="0" w:color="auto"/>
            <w:bottom w:val="none" w:sz="0" w:space="0" w:color="auto"/>
            <w:right w:val="none" w:sz="0" w:space="0" w:color="auto"/>
          </w:divBdr>
          <w:divsChild>
            <w:div w:id="197744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1516983">
      <w:bodyDiv w:val="1"/>
      <w:marLeft w:val="0"/>
      <w:marRight w:val="0"/>
      <w:marTop w:val="0"/>
      <w:marBottom w:val="0"/>
      <w:divBdr>
        <w:top w:val="none" w:sz="0" w:space="0" w:color="auto"/>
        <w:left w:val="none" w:sz="0" w:space="0" w:color="auto"/>
        <w:bottom w:val="none" w:sz="0" w:space="0" w:color="auto"/>
        <w:right w:val="none" w:sz="0" w:space="0" w:color="auto"/>
      </w:divBdr>
    </w:div>
    <w:div w:id="741605551">
      <w:bodyDiv w:val="1"/>
      <w:marLeft w:val="0"/>
      <w:marRight w:val="0"/>
      <w:marTop w:val="0"/>
      <w:marBottom w:val="0"/>
      <w:divBdr>
        <w:top w:val="none" w:sz="0" w:space="0" w:color="auto"/>
        <w:left w:val="none" w:sz="0" w:space="0" w:color="auto"/>
        <w:bottom w:val="none" w:sz="0" w:space="0" w:color="auto"/>
        <w:right w:val="none" w:sz="0" w:space="0" w:color="auto"/>
      </w:divBdr>
    </w:div>
    <w:div w:id="742489092">
      <w:bodyDiv w:val="1"/>
      <w:marLeft w:val="0"/>
      <w:marRight w:val="0"/>
      <w:marTop w:val="0"/>
      <w:marBottom w:val="0"/>
      <w:divBdr>
        <w:top w:val="none" w:sz="0" w:space="0" w:color="auto"/>
        <w:left w:val="none" w:sz="0" w:space="0" w:color="auto"/>
        <w:bottom w:val="none" w:sz="0" w:space="0" w:color="auto"/>
        <w:right w:val="none" w:sz="0" w:space="0" w:color="auto"/>
      </w:divBdr>
    </w:div>
    <w:div w:id="764961290">
      <w:bodyDiv w:val="1"/>
      <w:marLeft w:val="0"/>
      <w:marRight w:val="0"/>
      <w:marTop w:val="0"/>
      <w:marBottom w:val="0"/>
      <w:divBdr>
        <w:top w:val="none" w:sz="0" w:space="0" w:color="auto"/>
        <w:left w:val="none" w:sz="0" w:space="0" w:color="auto"/>
        <w:bottom w:val="none" w:sz="0" w:space="0" w:color="auto"/>
        <w:right w:val="none" w:sz="0" w:space="0" w:color="auto"/>
      </w:divBdr>
    </w:div>
    <w:div w:id="985164013">
      <w:bodyDiv w:val="1"/>
      <w:marLeft w:val="0"/>
      <w:marRight w:val="0"/>
      <w:marTop w:val="0"/>
      <w:marBottom w:val="0"/>
      <w:divBdr>
        <w:top w:val="none" w:sz="0" w:space="0" w:color="auto"/>
        <w:left w:val="none" w:sz="0" w:space="0" w:color="auto"/>
        <w:bottom w:val="none" w:sz="0" w:space="0" w:color="auto"/>
        <w:right w:val="none" w:sz="0" w:space="0" w:color="auto"/>
      </w:divBdr>
    </w:div>
    <w:div w:id="1045448223">
      <w:bodyDiv w:val="1"/>
      <w:marLeft w:val="0"/>
      <w:marRight w:val="0"/>
      <w:marTop w:val="0"/>
      <w:marBottom w:val="0"/>
      <w:divBdr>
        <w:top w:val="none" w:sz="0" w:space="0" w:color="auto"/>
        <w:left w:val="none" w:sz="0" w:space="0" w:color="auto"/>
        <w:bottom w:val="none" w:sz="0" w:space="0" w:color="auto"/>
        <w:right w:val="none" w:sz="0" w:space="0" w:color="auto"/>
      </w:divBdr>
    </w:div>
    <w:div w:id="1067728858">
      <w:bodyDiv w:val="1"/>
      <w:marLeft w:val="0"/>
      <w:marRight w:val="0"/>
      <w:marTop w:val="0"/>
      <w:marBottom w:val="0"/>
      <w:divBdr>
        <w:top w:val="none" w:sz="0" w:space="0" w:color="auto"/>
        <w:left w:val="none" w:sz="0" w:space="0" w:color="auto"/>
        <w:bottom w:val="none" w:sz="0" w:space="0" w:color="auto"/>
        <w:right w:val="none" w:sz="0" w:space="0" w:color="auto"/>
      </w:divBdr>
      <w:divsChild>
        <w:div w:id="714813331">
          <w:marLeft w:val="547"/>
          <w:marRight w:val="0"/>
          <w:marTop w:val="125"/>
          <w:marBottom w:val="0"/>
          <w:divBdr>
            <w:top w:val="none" w:sz="0" w:space="0" w:color="auto"/>
            <w:left w:val="none" w:sz="0" w:space="0" w:color="auto"/>
            <w:bottom w:val="none" w:sz="0" w:space="0" w:color="auto"/>
            <w:right w:val="none" w:sz="0" w:space="0" w:color="auto"/>
          </w:divBdr>
        </w:div>
        <w:div w:id="1096026132">
          <w:marLeft w:val="547"/>
          <w:marRight w:val="0"/>
          <w:marTop w:val="125"/>
          <w:marBottom w:val="0"/>
          <w:divBdr>
            <w:top w:val="none" w:sz="0" w:space="0" w:color="auto"/>
            <w:left w:val="none" w:sz="0" w:space="0" w:color="auto"/>
            <w:bottom w:val="none" w:sz="0" w:space="0" w:color="auto"/>
            <w:right w:val="none" w:sz="0" w:space="0" w:color="auto"/>
          </w:divBdr>
        </w:div>
        <w:div w:id="898244048">
          <w:marLeft w:val="547"/>
          <w:marRight w:val="0"/>
          <w:marTop w:val="125"/>
          <w:marBottom w:val="0"/>
          <w:divBdr>
            <w:top w:val="none" w:sz="0" w:space="0" w:color="auto"/>
            <w:left w:val="none" w:sz="0" w:space="0" w:color="auto"/>
            <w:bottom w:val="none" w:sz="0" w:space="0" w:color="auto"/>
            <w:right w:val="none" w:sz="0" w:space="0" w:color="auto"/>
          </w:divBdr>
        </w:div>
      </w:divsChild>
    </w:div>
    <w:div w:id="1083067122">
      <w:bodyDiv w:val="1"/>
      <w:marLeft w:val="0"/>
      <w:marRight w:val="0"/>
      <w:marTop w:val="0"/>
      <w:marBottom w:val="0"/>
      <w:divBdr>
        <w:top w:val="none" w:sz="0" w:space="0" w:color="auto"/>
        <w:left w:val="none" w:sz="0" w:space="0" w:color="auto"/>
        <w:bottom w:val="none" w:sz="0" w:space="0" w:color="auto"/>
        <w:right w:val="none" w:sz="0" w:space="0" w:color="auto"/>
      </w:divBdr>
    </w:div>
    <w:div w:id="1100107380">
      <w:bodyDiv w:val="1"/>
      <w:marLeft w:val="0"/>
      <w:marRight w:val="0"/>
      <w:marTop w:val="0"/>
      <w:marBottom w:val="0"/>
      <w:divBdr>
        <w:top w:val="none" w:sz="0" w:space="0" w:color="auto"/>
        <w:left w:val="none" w:sz="0" w:space="0" w:color="auto"/>
        <w:bottom w:val="none" w:sz="0" w:space="0" w:color="auto"/>
        <w:right w:val="none" w:sz="0" w:space="0" w:color="auto"/>
      </w:divBdr>
    </w:div>
    <w:div w:id="1139109466">
      <w:bodyDiv w:val="1"/>
      <w:marLeft w:val="0"/>
      <w:marRight w:val="0"/>
      <w:marTop w:val="0"/>
      <w:marBottom w:val="0"/>
      <w:divBdr>
        <w:top w:val="none" w:sz="0" w:space="0" w:color="auto"/>
        <w:left w:val="none" w:sz="0" w:space="0" w:color="auto"/>
        <w:bottom w:val="none" w:sz="0" w:space="0" w:color="auto"/>
        <w:right w:val="none" w:sz="0" w:space="0" w:color="auto"/>
      </w:divBdr>
    </w:div>
    <w:div w:id="1190265728">
      <w:bodyDiv w:val="1"/>
      <w:marLeft w:val="0"/>
      <w:marRight w:val="0"/>
      <w:marTop w:val="0"/>
      <w:marBottom w:val="0"/>
      <w:divBdr>
        <w:top w:val="none" w:sz="0" w:space="0" w:color="auto"/>
        <w:left w:val="none" w:sz="0" w:space="0" w:color="auto"/>
        <w:bottom w:val="none" w:sz="0" w:space="0" w:color="auto"/>
        <w:right w:val="none" w:sz="0" w:space="0" w:color="auto"/>
      </w:divBdr>
    </w:div>
    <w:div w:id="1357736592">
      <w:bodyDiv w:val="1"/>
      <w:marLeft w:val="0"/>
      <w:marRight w:val="0"/>
      <w:marTop w:val="0"/>
      <w:marBottom w:val="0"/>
      <w:divBdr>
        <w:top w:val="none" w:sz="0" w:space="0" w:color="auto"/>
        <w:left w:val="none" w:sz="0" w:space="0" w:color="auto"/>
        <w:bottom w:val="none" w:sz="0" w:space="0" w:color="auto"/>
        <w:right w:val="none" w:sz="0" w:space="0" w:color="auto"/>
      </w:divBdr>
    </w:div>
    <w:div w:id="1443263329">
      <w:bodyDiv w:val="1"/>
      <w:marLeft w:val="0"/>
      <w:marRight w:val="0"/>
      <w:marTop w:val="0"/>
      <w:marBottom w:val="0"/>
      <w:divBdr>
        <w:top w:val="none" w:sz="0" w:space="0" w:color="auto"/>
        <w:left w:val="none" w:sz="0" w:space="0" w:color="auto"/>
        <w:bottom w:val="none" w:sz="0" w:space="0" w:color="auto"/>
        <w:right w:val="none" w:sz="0" w:space="0" w:color="auto"/>
      </w:divBdr>
    </w:div>
    <w:div w:id="1596402289">
      <w:bodyDiv w:val="1"/>
      <w:marLeft w:val="0"/>
      <w:marRight w:val="0"/>
      <w:marTop w:val="0"/>
      <w:marBottom w:val="0"/>
      <w:divBdr>
        <w:top w:val="none" w:sz="0" w:space="0" w:color="auto"/>
        <w:left w:val="none" w:sz="0" w:space="0" w:color="auto"/>
        <w:bottom w:val="none" w:sz="0" w:space="0" w:color="auto"/>
        <w:right w:val="none" w:sz="0" w:space="0" w:color="auto"/>
      </w:divBdr>
      <w:divsChild>
        <w:div w:id="493885274">
          <w:marLeft w:val="0"/>
          <w:marRight w:val="0"/>
          <w:marTop w:val="0"/>
          <w:marBottom w:val="0"/>
          <w:divBdr>
            <w:top w:val="none" w:sz="0" w:space="0" w:color="auto"/>
            <w:left w:val="none" w:sz="0" w:space="0" w:color="auto"/>
            <w:bottom w:val="none" w:sz="0" w:space="0" w:color="auto"/>
            <w:right w:val="none" w:sz="0" w:space="0" w:color="auto"/>
          </w:divBdr>
          <w:divsChild>
            <w:div w:id="78362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210668">
      <w:bodyDiv w:val="1"/>
      <w:marLeft w:val="0"/>
      <w:marRight w:val="0"/>
      <w:marTop w:val="0"/>
      <w:marBottom w:val="0"/>
      <w:divBdr>
        <w:top w:val="none" w:sz="0" w:space="0" w:color="auto"/>
        <w:left w:val="none" w:sz="0" w:space="0" w:color="auto"/>
        <w:bottom w:val="none" w:sz="0" w:space="0" w:color="auto"/>
        <w:right w:val="none" w:sz="0" w:space="0" w:color="auto"/>
      </w:divBdr>
    </w:div>
    <w:div w:id="1794398054">
      <w:bodyDiv w:val="1"/>
      <w:marLeft w:val="0"/>
      <w:marRight w:val="0"/>
      <w:marTop w:val="0"/>
      <w:marBottom w:val="0"/>
      <w:divBdr>
        <w:top w:val="none" w:sz="0" w:space="0" w:color="auto"/>
        <w:left w:val="none" w:sz="0" w:space="0" w:color="auto"/>
        <w:bottom w:val="none" w:sz="0" w:space="0" w:color="auto"/>
        <w:right w:val="none" w:sz="0" w:space="0" w:color="auto"/>
      </w:divBdr>
    </w:div>
    <w:div w:id="1813063914">
      <w:bodyDiv w:val="1"/>
      <w:marLeft w:val="0"/>
      <w:marRight w:val="0"/>
      <w:marTop w:val="0"/>
      <w:marBottom w:val="0"/>
      <w:divBdr>
        <w:top w:val="none" w:sz="0" w:space="0" w:color="auto"/>
        <w:left w:val="none" w:sz="0" w:space="0" w:color="auto"/>
        <w:bottom w:val="none" w:sz="0" w:space="0" w:color="auto"/>
        <w:right w:val="none" w:sz="0" w:space="0" w:color="auto"/>
      </w:divBdr>
      <w:divsChild>
        <w:div w:id="1599288466">
          <w:marLeft w:val="547"/>
          <w:marRight w:val="0"/>
          <w:marTop w:val="144"/>
          <w:marBottom w:val="0"/>
          <w:divBdr>
            <w:top w:val="none" w:sz="0" w:space="0" w:color="auto"/>
            <w:left w:val="none" w:sz="0" w:space="0" w:color="auto"/>
            <w:bottom w:val="none" w:sz="0" w:space="0" w:color="auto"/>
            <w:right w:val="none" w:sz="0" w:space="0" w:color="auto"/>
          </w:divBdr>
        </w:div>
        <w:div w:id="1275094017">
          <w:marLeft w:val="547"/>
          <w:marRight w:val="0"/>
          <w:marTop w:val="144"/>
          <w:marBottom w:val="0"/>
          <w:divBdr>
            <w:top w:val="none" w:sz="0" w:space="0" w:color="auto"/>
            <w:left w:val="none" w:sz="0" w:space="0" w:color="auto"/>
            <w:bottom w:val="none" w:sz="0" w:space="0" w:color="auto"/>
            <w:right w:val="none" w:sz="0" w:space="0" w:color="auto"/>
          </w:divBdr>
        </w:div>
        <w:div w:id="1104497655">
          <w:marLeft w:val="547"/>
          <w:marRight w:val="0"/>
          <w:marTop w:val="144"/>
          <w:marBottom w:val="0"/>
          <w:divBdr>
            <w:top w:val="none" w:sz="0" w:space="0" w:color="auto"/>
            <w:left w:val="none" w:sz="0" w:space="0" w:color="auto"/>
            <w:bottom w:val="none" w:sz="0" w:space="0" w:color="auto"/>
            <w:right w:val="none" w:sz="0" w:space="0" w:color="auto"/>
          </w:divBdr>
        </w:div>
      </w:divsChild>
    </w:div>
    <w:div w:id="1828665099">
      <w:bodyDiv w:val="1"/>
      <w:marLeft w:val="0"/>
      <w:marRight w:val="0"/>
      <w:marTop w:val="0"/>
      <w:marBottom w:val="0"/>
      <w:divBdr>
        <w:top w:val="none" w:sz="0" w:space="0" w:color="auto"/>
        <w:left w:val="none" w:sz="0" w:space="0" w:color="auto"/>
        <w:bottom w:val="none" w:sz="0" w:space="0" w:color="auto"/>
        <w:right w:val="none" w:sz="0" w:space="0" w:color="auto"/>
      </w:divBdr>
    </w:div>
    <w:div w:id="1926917760">
      <w:bodyDiv w:val="1"/>
      <w:marLeft w:val="0"/>
      <w:marRight w:val="0"/>
      <w:marTop w:val="0"/>
      <w:marBottom w:val="0"/>
      <w:divBdr>
        <w:top w:val="none" w:sz="0" w:space="0" w:color="auto"/>
        <w:left w:val="none" w:sz="0" w:space="0" w:color="auto"/>
        <w:bottom w:val="none" w:sz="0" w:space="0" w:color="auto"/>
        <w:right w:val="none" w:sz="0" w:space="0" w:color="auto"/>
      </w:divBdr>
    </w:div>
    <w:div w:id="1946884187">
      <w:bodyDiv w:val="1"/>
      <w:marLeft w:val="0"/>
      <w:marRight w:val="0"/>
      <w:marTop w:val="0"/>
      <w:marBottom w:val="0"/>
      <w:divBdr>
        <w:top w:val="none" w:sz="0" w:space="0" w:color="auto"/>
        <w:left w:val="none" w:sz="0" w:space="0" w:color="auto"/>
        <w:bottom w:val="none" w:sz="0" w:space="0" w:color="auto"/>
        <w:right w:val="none" w:sz="0" w:space="0" w:color="auto"/>
      </w:divBdr>
    </w:div>
    <w:div w:id="2004888380">
      <w:bodyDiv w:val="1"/>
      <w:marLeft w:val="0"/>
      <w:marRight w:val="0"/>
      <w:marTop w:val="0"/>
      <w:marBottom w:val="0"/>
      <w:divBdr>
        <w:top w:val="none" w:sz="0" w:space="0" w:color="auto"/>
        <w:left w:val="none" w:sz="0" w:space="0" w:color="auto"/>
        <w:bottom w:val="none" w:sz="0" w:space="0" w:color="auto"/>
        <w:right w:val="none" w:sz="0" w:space="0" w:color="auto"/>
      </w:divBdr>
    </w:div>
    <w:div w:id="2016374104">
      <w:bodyDiv w:val="1"/>
      <w:marLeft w:val="0"/>
      <w:marRight w:val="0"/>
      <w:marTop w:val="0"/>
      <w:marBottom w:val="0"/>
      <w:divBdr>
        <w:top w:val="none" w:sz="0" w:space="0" w:color="auto"/>
        <w:left w:val="none" w:sz="0" w:space="0" w:color="auto"/>
        <w:bottom w:val="none" w:sz="0" w:space="0" w:color="auto"/>
        <w:right w:val="none" w:sz="0" w:space="0" w:color="auto"/>
      </w:divBdr>
    </w:div>
    <w:div w:id="2135100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nergycitizens.org/wp-content/uploads/2017/02/API-EC-Infrastructure101-Final.pdf" TargetMode="Externa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1.xml"/><Relationship Id="rId17" Type="http://schemas.openxmlformats.org/officeDocument/2006/relationships/diagramData" Target="diagrams/data2.xml"/><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ga.org/fact-sheets/pipeline-safety" TargetMode="External"/><Relationship Id="rId5" Type="http://schemas.openxmlformats.org/officeDocument/2006/relationships/webSettings" Target="webSettings.xml"/><Relationship Id="rId15" Type="http://schemas.openxmlformats.org/officeDocument/2006/relationships/diagramColors" Target="diagrams/colors1.xml"/><Relationship Id="rId10" Type="http://schemas.openxmlformats.org/officeDocument/2006/relationships/hyperlink" Target="https://energycitizens.org/wp-content/uploads/2017/02/API-EC-Infrastructure101-Final.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ga.org/fact-sheets/pipeline-safety" TargetMode="External"/><Relationship Id="rId14" Type="http://schemas.openxmlformats.org/officeDocument/2006/relationships/diagramQuickStyle" Target="diagrams/quickStyle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4_2">
  <dgm:title val=""/>
  <dgm:desc val=""/>
  <dgm:catLst>
    <dgm:cat type="accent4" pri="11200"/>
  </dgm:catLst>
  <dgm:styleLbl name="node0">
    <dgm:fillClrLst meth="repeat">
      <a:schemeClr val="accent4"/>
    </dgm:fillClrLst>
    <dgm:linClrLst meth="repeat">
      <a:schemeClr val="lt1"/>
    </dgm:linClrLst>
    <dgm:effectClrLst/>
    <dgm:txLinClrLst/>
    <dgm:txFillClrLst/>
    <dgm:txEffectClrLst/>
  </dgm:styleLbl>
  <dgm:styleLbl name="node1">
    <dgm:fillClrLst meth="repeat">
      <a:schemeClr val="accent4"/>
    </dgm:fillClrLst>
    <dgm:linClrLst meth="repeat">
      <a:schemeClr val="lt1"/>
    </dgm:linClrLst>
    <dgm:effectClrLst/>
    <dgm:txLinClrLst/>
    <dgm:txFillClrLst/>
    <dgm:txEffectClrLst/>
  </dgm:styleLbl>
  <dgm:styleLbl name="alignNode1">
    <dgm:fillClrLst meth="repeat">
      <a:schemeClr val="accent4"/>
    </dgm:fillClrLst>
    <dgm:linClrLst meth="repeat">
      <a:schemeClr val="accent4"/>
    </dgm:linClrLst>
    <dgm:effectClrLst/>
    <dgm:txLinClrLst/>
    <dgm:txFillClrLst/>
    <dgm:txEffectClrLst/>
  </dgm:styleLbl>
  <dgm:styleLbl name="lnNode1">
    <dgm:fillClrLst meth="repeat">
      <a:schemeClr val="accent4"/>
    </dgm:fillClrLst>
    <dgm:linClrLst meth="repeat">
      <a:schemeClr val="lt1"/>
    </dgm:linClrLst>
    <dgm:effectClrLst/>
    <dgm:txLinClrLst/>
    <dgm:txFillClrLst/>
    <dgm:txEffectClrLst/>
  </dgm:styleLbl>
  <dgm:styleLbl name="vennNode1">
    <dgm:fillClrLst meth="repeat">
      <a:schemeClr val="accent4">
        <a:alpha val="50000"/>
      </a:schemeClr>
    </dgm:fillClrLst>
    <dgm:linClrLst meth="repeat">
      <a:schemeClr val="lt1"/>
    </dgm:linClrLst>
    <dgm:effectClrLst/>
    <dgm:txLinClrLst/>
    <dgm:txFillClrLst/>
    <dgm:txEffectClrLst/>
  </dgm:styleLbl>
  <dgm:styleLbl name="node2">
    <dgm:fillClrLst meth="repeat">
      <a:schemeClr val="accent4"/>
    </dgm:fillClrLst>
    <dgm:linClrLst meth="repeat">
      <a:schemeClr val="lt1"/>
    </dgm:linClrLst>
    <dgm:effectClrLst/>
    <dgm:txLinClrLst/>
    <dgm:txFillClrLst/>
    <dgm:txEffectClrLst/>
  </dgm:styleLbl>
  <dgm:styleLbl name="node3">
    <dgm:fillClrLst meth="repeat">
      <a:schemeClr val="accent4"/>
    </dgm:fillClrLst>
    <dgm:linClrLst meth="repeat">
      <a:schemeClr val="lt1"/>
    </dgm:linClrLst>
    <dgm:effectClrLst/>
    <dgm:txLinClrLst/>
    <dgm:txFillClrLst/>
    <dgm:txEffectClrLst/>
  </dgm:styleLbl>
  <dgm:styleLbl name="node4">
    <dgm:fillClrLst meth="repeat">
      <a:schemeClr val="accent4"/>
    </dgm:fillClrLst>
    <dgm:linClrLst meth="repeat">
      <a:schemeClr val="lt1"/>
    </dgm:linClrLst>
    <dgm:effectClrLst/>
    <dgm:txLinClrLst/>
    <dgm:txFillClrLst/>
    <dgm:txEffectClrLst/>
  </dgm:styleLbl>
  <dgm:styleLbl name="f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4">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4">
        <a:tint val="60000"/>
      </a:schemeClr>
    </dgm:fillClrLst>
    <dgm:linClrLst meth="repeat">
      <a:schemeClr val="accent4">
        <a:tint val="60000"/>
      </a:schemeClr>
    </dgm:linClrLst>
    <dgm:effectClrLst/>
    <dgm:txLinClrLst/>
    <dgm:txFillClrLst/>
    <dgm:txEffectClrLst/>
  </dgm:styleLbl>
  <dgm:styleLbl name="fgSibTrans2D1">
    <dgm:fillClrLst meth="repeat">
      <a:schemeClr val="accent4">
        <a:tint val="60000"/>
      </a:schemeClr>
    </dgm:fillClrLst>
    <dgm:linClrLst meth="repeat">
      <a:schemeClr val="accent4">
        <a:tint val="60000"/>
      </a:schemeClr>
    </dgm:linClrLst>
    <dgm:effectClrLst/>
    <dgm:txLinClrLst/>
    <dgm:txFillClrLst/>
    <dgm:txEffectClrLst/>
  </dgm:styleLbl>
  <dgm:styleLbl name="bgSibTrans2D1">
    <dgm:fillClrLst meth="repeat">
      <a:schemeClr val="accent4">
        <a:tint val="60000"/>
      </a:schemeClr>
    </dgm:fillClrLst>
    <dgm:linClrLst meth="repeat">
      <a:schemeClr val="accent4">
        <a:tint val="60000"/>
      </a:schemeClr>
    </dgm:linClrLst>
    <dgm:effectClrLst/>
    <dgm:txLinClrLst/>
    <dgm:txFillClrLst/>
    <dgm:txEffectClrLst/>
  </dgm:styleLbl>
  <dgm:styleLbl name="sibTrans1D1">
    <dgm:fillClrLst meth="repeat">
      <a:schemeClr val="accent4"/>
    </dgm:fillClrLst>
    <dgm:linClrLst meth="repeat">
      <a:schemeClr val="accent4"/>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dgm:linClrLst>
    <dgm:effectClrLst/>
    <dgm:txLinClrLst/>
    <dgm:txFillClrLst/>
    <dgm:txEffectClrLst/>
  </dgm:styleLbl>
  <dgm:styleLbl name="asst1">
    <dgm:fillClrLst meth="repeat">
      <a:schemeClr val="accent4"/>
    </dgm:fillClrLst>
    <dgm:linClrLst meth="repeat">
      <a:schemeClr val="lt1"/>
    </dgm:linClrLst>
    <dgm:effectClrLst/>
    <dgm:txLinClrLst/>
    <dgm:txFillClrLst/>
    <dgm:txEffectClrLst/>
  </dgm:styleLbl>
  <dgm:styleLbl name="asst2">
    <dgm:fillClrLst meth="repeat">
      <a:schemeClr val="accent4"/>
    </dgm:fillClrLst>
    <dgm:linClrLst meth="repeat">
      <a:schemeClr val="lt1"/>
    </dgm:linClrLst>
    <dgm:effectClrLst/>
    <dgm:txLinClrLst/>
    <dgm:txFillClrLst/>
    <dgm:txEffectClrLst/>
  </dgm:styleLbl>
  <dgm:styleLbl name="asst3">
    <dgm:fillClrLst meth="repeat">
      <a:schemeClr val="accent4"/>
    </dgm:fillClrLst>
    <dgm:linClrLst meth="repeat">
      <a:schemeClr val="lt1"/>
    </dgm:linClrLst>
    <dgm:effectClrLst/>
    <dgm:txLinClrLst/>
    <dgm:txFillClrLst/>
    <dgm:txEffectClrLst/>
  </dgm:styleLbl>
  <dgm:styleLbl name="asst4">
    <dgm:fillClrLst meth="repeat">
      <a:schemeClr val="accent4"/>
    </dgm:fillClrLst>
    <dgm:linClrLst meth="repeat">
      <a:schemeClr val="lt1"/>
    </dgm:linClrLst>
    <dgm:effectClrLst/>
    <dgm:txLinClrLst/>
    <dgm:txFillClrLst/>
    <dgm:txEffectClrLst/>
  </dgm:styleLbl>
  <dgm:styleLbl name="parChTrans2D1">
    <dgm:fillClrLst meth="repeat">
      <a:schemeClr val="accent4">
        <a:tint val="60000"/>
      </a:schemeClr>
    </dgm:fillClrLst>
    <dgm:linClrLst meth="repeat">
      <a:schemeClr val="accent4">
        <a:tint val="60000"/>
      </a:schemeClr>
    </dgm:linClrLst>
    <dgm:effectClrLst/>
    <dgm:txLinClrLst/>
    <dgm:txFillClrLst meth="repeat">
      <a:schemeClr val="lt1"/>
    </dgm:txFillClrLst>
    <dgm:txEffectClrLst/>
  </dgm:styleLbl>
  <dgm:styleLbl name="parChTrans2D2">
    <dgm:fillClrLst meth="repeat">
      <a:schemeClr val="accent4"/>
    </dgm:fillClrLst>
    <dgm:linClrLst meth="repeat">
      <a:schemeClr val="accent4"/>
    </dgm:linClrLst>
    <dgm:effectClrLst/>
    <dgm:txLinClrLst/>
    <dgm:txFillClrLst meth="repeat">
      <a:schemeClr val="lt1"/>
    </dgm:txFillClrLst>
    <dgm:txEffectClrLst/>
  </dgm:styleLbl>
  <dgm:styleLbl name="parChTrans2D3">
    <dgm:fillClrLst meth="repeat">
      <a:schemeClr val="accent4"/>
    </dgm:fillClrLst>
    <dgm:linClrLst meth="repeat">
      <a:schemeClr val="accent4"/>
    </dgm:linClrLst>
    <dgm:effectClrLst/>
    <dgm:txLinClrLst/>
    <dgm:txFillClrLst meth="repeat">
      <a:schemeClr val="lt1"/>
    </dgm:txFillClrLst>
    <dgm:txEffectClrLst/>
  </dgm:styleLbl>
  <dgm:styleLbl name="parChTrans2D4">
    <dgm:fillClrLst meth="repeat">
      <a:schemeClr val="accent4"/>
    </dgm:fillClrLst>
    <dgm:linClrLst meth="repeat">
      <a:schemeClr val="accent4"/>
    </dgm:linClrLst>
    <dgm:effectClrLst/>
    <dgm:txLinClrLst/>
    <dgm:txFillClrLst meth="repeat">
      <a:schemeClr val="lt1"/>
    </dgm:txFillClrLst>
    <dgm:txEffectClrLst/>
  </dgm:styleLbl>
  <dgm:styleLbl name="parChTrans1D1">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2">
    <dgm:fillClrLst meth="repeat">
      <a:schemeClr val="accent4"/>
    </dgm:fillClrLst>
    <dgm:linClrLst meth="repeat">
      <a:schemeClr val="accent4">
        <a:shade val="60000"/>
      </a:schemeClr>
    </dgm:linClrLst>
    <dgm:effectClrLst/>
    <dgm:txLinClrLst/>
    <dgm:txFillClrLst meth="repeat">
      <a:schemeClr val="tx1"/>
    </dgm:txFillClrLst>
    <dgm:txEffectClrLst/>
  </dgm:styleLbl>
  <dgm:styleLbl name="parChTrans1D3">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parChTrans1D4">
    <dgm:fillClrLst meth="repeat">
      <a:schemeClr val="accent4"/>
    </dgm:fillClrLst>
    <dgm:linClrLst meth="repeat">
      <a:schemeClr val="accent4">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solidFgAcc1">
    <dgm:fillClrLst meth="repeat">
      <a:schemeClr val="lt1"/>
    </dgm:fillClrLst>
    <dgm:linClrLst meth="repeat">
      <a:schemeClr val="accent4"/>
    </dgm:linClrLst>
    <dgm:effectClrLst/>
    <dgm:txLinClrLst/>
    <dgm:txFillClrLst meth="repeat">
      <a:schemeClr val="dk1"/>
    </dgm:txFillClrLst>
    <dgm:txEffectClrLst/>
  </dgm:styleLbl>
  <dgm:styleLbl name="solidAlignAcc1">
    <dgm:fillClrLst meth="repeat">
      <a:schemeClr val="lt1"/>
    </dgm:fillClrLst>
    <dgm:linClrLst meth="repeat">
      <a:schemeClr val="accent4"/>
    </dgm:linClrLst>
    <dgm:effectClrLst/>
    <dgm:txLinClrLst/>
    <dgm:txFillClrLst meth="repeat">
      <a:schemeClr val="dk1"/>
    </dgm:txFillClrLst>
    <dgm:txEffectClrLst/>
  </dgm:styleLbl>
  <dgm:styleLbl name="solidBgAcc1">
    <dgm:fillClrLst meth="repeat">
      <a:schemeClr val="lt1"/>
    </dgm:fillClrLst>
    <dgm:linClrLst meth="repeat">
      <a:schemeClr val="accent4"/>
    </dgm:linClrLst>
    <dgm:effectClrLst/>
    <dgm:txLinClrLst/>
    <dgm:txFillClrLst meth="repeat">
      <a:schemeClr val="dk1"/>
    </dgm:txFillClrLst>
    <dgm:txEffectClrLst/>
  </dgm:styleLbl>
  <dgm:styleLbl name="f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align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bgAccFollowNode1">
    <dgm:fillClrLst meth="repeat">
      <a:schemeClr val="accent4">
        <a:alpha val="90000"/>
        <a:tint val="40000"/>
      </a:schemeClr>
    </dgm:fillClrLst>
    <dgm:linClrLst meth="repeat">
      <a:schemeClr val="accent4">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4"/>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accent4"/>
    </dgm:linClrLst>
    <dgm:effectClrLst/>
    <dgm:txLinClrLst/>
    <dgm:txFillClrLst meth="repeat">
      <a:schemeClr val="dk1"/>
    </dgm:txFillClrLst>
    <dgm:txEffectClrLst/>
  </dgm:styleLbl>
  <dgm:styleLbl name="dkBgShp">
    <dgm:fillClrLst meth="repeat">
      <a:schemeClr val="accent4">
        <a:shade val="80000"/>
      </a:schemeClr>
    </dgm:fillClrLst>
    <dgm:linClrLst meth="repeat">
      <a:schemeClr val="accent4"/>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4E874F62-37B7-4B43-8E2E-28FD84AEC0A6}" type="doc">
      <dgm:prSet loTypeId="urn:microsoft.com/office/officeart/2005/8/layout/radial4" loCatId="relationship" qsTypeId="urn:microsoft.com/office/officeart/2005/8/quickstyle/simple1" qsCatId="simple" csTypeId="urn:microsoft.com/office/officeart/2005/8/colors/accent4_2" csCatId="accent4" phldr="1"/>
      <dgm:spPr/>
      <dgm:t>
        <a:bodyPr/>
        <a:lstStyle/>
        <a:p>
          <a:endParaRPr lang="en-US"/>
        </a:p>
      </dgm:t>
    </dgm:pt>
    <dgm:pt modelId="{9FBFE694-96A5-446D-9CA6-10D3720E400C}">
      <dgm:prSet phldrT="[Text]" custT="1">
        <dgm:style>
          <a:lnRef idx="2">
            <a:schemeClr val="accent1">
              <a:shade val="50000"/>
            </a:schemeClr>
          </a:lnRef>
          <a:fillRef idx="1">
            <a:schemeClr val="accent1"/>
          </a:fillRef>
          <a:effectRef idx="0">
            <a:schemeClr val="accent1"/>
          </a:effectRef>
          <a:fontRef idx="minor">
            <a:schemeClr val="lt1"/>
          </a:fontRef>
        </dgm:style>
      </dgm:prSet>
      <dgm:spPr>
        <a:xfrm>
          <a:off x="2632261" y="2968433"/>
          <a:ext cx="2436213" cy="1554085"/>
        </a:xfrm>
        <a:ln/>
      </dgm:spPr>
      <dgm:t>
        <a:bodyPr/>
        <a:lstStyle/>
        <a:p>
          <a:r>
            <a:rPr lang="en-US" sz="1100" dirty="0">
              <a:solidFill>
                <a:sysClr val="window" lastClr="FFFFFF"/>
              </a:solidFill>
              <a:latin typeface="Calibri"/>
              <a:ea typeface="+mn-ea"/>
              <a:cs typeface="+mn-cs"/>
            </a:rPr>
            <a:t>Roles and Responsibilities</a:t>
          </a:r>
        </a:p>
      </dgm:t>
    </dgm:pt>
    <dgm:pt modelId="{DF7179EF-51B7-479E-8086-5570CA60E3A8}" type="parTrans" cxnId="{3BBAF766-6B36-4D03-88D0-0C707B5EEB1B}">
      <dgm:prSet/>
      <dgm:spPr/>
      <dgm:t>
        <a:bodyPr/>
        <a:lstStyle/>
        <a:p>
          <a:endParaRPr lang="en-US"/>
        </a:p>
      </dgm:t>
    </dgm:pt>
    <dgm:pt modelId="{70C8B10B-AE39-4DF0-A4E6-79A4D02AED18}" type="sibTrans" cxnId="{3BBAF766-6B36-4D03-88D0-0C707B5EEB1B}">
      <dgm:prSet/>
      <dgm:spPr/>
      <dgm:t>
        <a:bodyPr/>
        <a:lstStyle/>
        <a:p>
          <a:endParaRPr lang="en-US"/>
        </a:p>
      </dgm:t>
    </dgm:pt>
    <dgm:pt modelId="{2C3C7BAE-6CE8-4711-ACD6-809EEDDF2796}">
      <dgm:prSet phldrT="[Text]">
        <dgm:style>
          <a:lnRef idx="2">
            <a:schemeClr val="accent1">
              <a:shade val="50000"/>
            </a:schemeClr>
          </a:lnRef>
          <a:fillRef idx="1">
            <a:schemeClr val="accent1"/>
          </a:fillRef>
          <a:effectRef idx="0">
            <a:schemeClr val="accent1"/>
          </a:effectRef>
          <a:fontRef idx="minor">
            <a:schemeClr val="lt1"/>
          </a:fontRef>
        </dgm:style>
      </dgm:prSet>
      <dgm:spPr>
        <a:xfrm>
          <a:off x="23920" y="2259002"/>
          <a:ext cx="1499848" cy="806793"/>
        </a:xfrm>
        <a:ln/>
      </dgm:spPr>
      <dgm:t>
        <a:bodyPr/>
        <a:lstStyle/>
        <a:p>
          <a:r>
            <a:rPr lang="en-US" dirty="0">
              <a:solidFill>
                <a:sysClr val="window" lastClr="FFFFFF"/>
              </a:solidFill>
              <a:latin typeface="Calibri"/>
              <a:ea typeface="+mn-ea"/>
              <a:cs typeface="+mn-cs"/>
            </a:rPr>
            <a:t>Adequate Information - SCADA</a:t>
          </a:r>
        </a:p>
      </dgm:t>
    </dgm:pt>
    <dgm:pt modelId="{4D3E20EB-7157-4DF4-8D4D-4DF45606B031}" type="parTrans" cxnId="{BCACEDDB-047B-490D-BD5E-05CB70345DE4}">
      <dgm:prSet>
        <dgm:style>
          <a:lnRef idx="2">
            <a:schemeClr val="accent1">
              <a:shade val="50000"/>
            </a:schemeClr>
          </a:lnRef>
          <a:fillRef idx="1">
            <a:schemeClr val="accent1"/>
          </a:fillRef>
          <a:effectRef idx="0">
            <a:schemeClr val="accent1"/>
          </a:effectRef>
          <a:fontRef idx="minor">
            <a:schemeClr val="lt1"/>
          </a:fontRef>
        </dgm:style>
      </dgm:prSet>
      <dgm:spPr>
        <a:xfrm rot="11963664">
          <a:off x="716709" y="2791452"/>
          <a:ext cx="2013762" cy="410600"/>
        </a:xfrm>
        <a:ln/>
      </dgm:spPr>
      <dgm:t>
        <a:bodyPr/>
        <a:lstStyle/>
        <a:p>
          <a:endParaRPr lang="en-US"/>
        </a:p>
      </dgm:t>
    </dgm:pt>
    <dgm:pt modelId="{79E5CB2E-89B1-4C69-AD89-123E6A17B310}" type="sibTrans" cxnId="{BCACEDDB-047B-490D-BD5E-05CB70345DE4}">
      <dgm:prSet/>
      <dgm:spPr/>
      <dgm:t>
        <a:bodyPr/>
        <a:lstStyle/>
        <a:p>
          <a:endParaRPr lang="en-US"/>
        </a:p>
      </dgm:t>
    </dgm:pt>
    <dgm:pt modelId="{2F47872F-EEA3-47A0-B5EF-A30C65D1FC02}">
      <dgm:prSet phldrT="[Text]">
        <dgm:style>
          <a:lnRef idx="2">
            <a:schemeClr val="accent1">
              <a:shade val="50000"/>
            </a:schemeClr>
          </a:lnRef>
          <a:fillRef idx="1">
            <a:schemeClr val="accent1"/>
          </a:fillRef>
          <a:effectRef idx="0">
            <a:schemeClr val="accent1"/>
          </a:effectRef>
          <a:fontRef idx="minor">
            <a:schemeClr val="lt1"/>
          </a:fontRef>
        </dgm:style>
      </dgm:prSet>
      <dgm:spPr>
        <a:xfrm>
          <a:off x="496859" y="1234303"/>
          <a:ext cx="1451996" cy="806793"/>
        </a:xfrm>
        <a:ln/>
      </dgm:spPr>
      <dgm:t>
        <a:bodyPr/>
        <a:lstStyle/>
        <a:p>
          <a:r>
            <a:rPr lang="en-US" dirty="0">
              <a:solidFill>
                <a:sysClr val="window" lastClr="FFFFFF"/>
              </a:solidFill>
              <a:latin typeface="Calibri"/>
              <a:ea typeface="+mn-ea"/>
              <a:cs typeface="+mn-cs"/>
            </a:rPr>
            <a:t>Adequate Information - Shift Change</a:t>
          </a:r>
        </a:p>
      </dgm:t>
    </dgm:pt>
    <dgm:pt modelId="{CC5EAFC3-CAFB-4D92-9BD8-71AF14230D70}" type="parTrans" cxnId="{C87F7288-EE21-4420-91EB-9BB16BD390E2}">
      <dgm:prSet>
        <dgm:style>
          <a:lnRef idx="2">
            <a:schemeClr val="accent1">
              <a:shade val="50000"/>
            </a:schemeClr>
          </a:lnRef>
          <a:fillRef idx="1">
            <a:schemeClr val="accent1"/>
          </a:fillRef>
          <a:effectRef idx="0">
            <a:schemeClr val="accent1"/>
          </a:effectRef>
          <a:fontRef idx="minor">
            <a:schemeClr val="lt1"/>
          </a:fontRef>
        </dgm:style>
      </dgm:prSet>
      <dgm:spPr>
        <a:xfrm rot="13124184">
          <a:off x="973777" y="2140955"/>
          <a:ext cx="2264700" cy="410600"/>
        </a:xfrm>
        <a:ln/>
      </dgm:spPr>
      <dgm:t>
        <a:bodyPr/>
        <a:lstStyle/>
        <a:p>
          <a:endParaRPr lang="en-US"/>
        </a:p>
      </dgm:t>
    </dgm:pt>
    <dgm:pt modelId="{47AA3C9F-6B26-4317-AF0D-B0B1786E5A75}" type="sibTrans" cxnId="{C87F7288-EE21-4420-91EB-9BB16BD390E2}">
      <dgm:prSet/>
      <dgm:spPr/>
      <dgm:t>
        <a:bodyPr/>
        <a:lstStyle/>
        <a:p>
          <a:endParaRPr lang="en-US"/>
        </a:p>
      </dgm:t>
    </dgm:pt>
    <dgm:pt modelId="{07E049E1-611B-479C-BED2-682891B38432}">
      <dgm:prSet phldrT="[Text]">
        <dgm:style>
          <a:lnRef idx="2">
            <a:schemeClr val="accent1">
              <a:shade val="50000"/>
            </a:schemeClr>
          </a:lnRef>
          <a:fillRef idx="1">
            <a:schemeClr val="accent1"/>
          </a:fillRef>
          <a:effectRef idx="0">
            <a:schemeClr val="accent1"/>
          </a:effectRef>
          <a:fontRef idx="minor">
            <a:schemeClr val="lt1"/>
          </a:fontRef>
        </dgm:style>
      </dgm:prSet>
      <dgm:spPr>
        <a:xfrm>
          <a:off x="1285072" y="288411"/>
          <a:ext cx="1448678" cy="806793"/>
        </a:xfrm>
        <a:ln/>
      </dgm:spPr>
      <dgm:t>
        <a:bodyPr/>
        <a:lstStyle/>
        <a:p>
          <a:r>
            <a:rPr lang="en-US" dirty="0">
              <a:solidFill>
                <a:sysClr val="window" lastClr="FFFFFF"/>
              </a:solidFill>
              <a:latin typeface="Calibri"/>
              <a:ea typeface="+mn-ea"/>
              <a:cs typeface="+mn-cs"/>
            </a:rPr>
            <a:t>Fatigue Risk Management</a:t>
          </a:r>
        </a:p>
      </dgm:t>
    </dgm:pt>
    <dgm:pt modelId="{5B6A9AE9-5FDF-40C3-804A-413E8A81E646}" type="parTrans" cxnId="{5802B741-95A2-429F-BD21-DC0FD5D1DDC6}">
      <dgm:prSet>
        <dgm:style>
          <a:lnRef idx="2">
            <a:schemeClr val="accent1">
              <a:shade val="50000"/>
            </a:schemeClr>
          </a:lnRef>
          <a:fillRef idx="1">
            <a:schemeClr val="accent1"/>
          </a:fillRef>
          <a:effectRef idx="0">
            <a:schemeClr val="accent1"/>
          </a:effectRef>
          <a:fontRef idx="minor">
            <a:schemeClr val="lt1"/>
          </a:fontRef>
        </dgm:style>
      </dgm:prSet>
      <dgm:spPr>
        <a:xfrm rot="14334936">
          <a:off x="1388033" y="1586681"/>
          <a:ext cx="2569274" cy="410600"/>
        </a:xfrm>
        <a:ln/>
      </dgm:spPr>
      <dgm:t>
        <a:bodyPr/>
        <a:lstStyle/>
        <a:p>
          <a:endParaRPr lang="en-US"/>
        </a:p>
      </dgm:t>
    </dgm:pt>
    <dgm:pt modelId="{ABE01EC3-2978-4CBA-8741-5F7472121A5F}" type="sibTrans" cxnId="{5802B741-95A2-429F-BD21-DC0FD5D1DDC6}">
      <dgm:prSet/>
      <dgm:spPr/>
      <dgm:t>
        <a:bodyPr/>
        <a:lstStyle/>
        <a:p>
          <a:endParaRPr lang="en-US"/>
        </a:p>
      </dgm:t>
    </dgm:pt>
    <dgm:pt modelId="{FD842246-BF66-4AD2-936E-BDD6FECB006D}">
      <dgm:prSet>
        <dgm:style>
          <a:lnRef idx="2">
            <a:schemeClr val="accent1">
              <a:shade val="50000"/>
            </a:schemeClr>
          </a:lnRef>
          <a:fillRef idx="1">
            <a:schemeClr val="accent1"/>
          </a:fillRef>
          <a:effectRef idx="0">
            <a:schemeClr val="accent1"/>
          </a:effectRef>
          <a:fontRef idx="minor">
            <a:schemeClr val="lt1"/>
          </a:fontRef>
        </dgm:style>
      </dgm:prSet>
      <dgm:spPr>
        <a:xfrm>
          <a:off x="3105173" y="-26718"/>
          <a:ext cx="1490389" cy="806793"/>
        </a:xfrm>
        <a:ln/>
      </dgm:spPr>
      <dgm:t>
        <a:bodyPr/>
        <a:lstStyle/>
        <a:p>
          <a:r>
            <a:rPr lang="en-US" dirty="0">
              <a:solidFill>
                <a:sysClr val="window" lastClr="FFFFFF"/>
              </a:solidFill>
              <a:latin typeface="Calibri"/>
              <a:ea typeface="+mn-ea"/>
              <a:cs typeface="+mn-cs"/>
            </a:rPr>
            <a:t>Alarm Management</a:t>
          </a:r>
        </a:p>
      </dgm:t>
    </dgm:pt>
    <dgm:pt modelId="{D308D9F5-FDF4-4C08-847E-CCEBCFF582B5}" type="parTrans" cxnId="{2D831796-8480-434F-9C9B-C0FE4AD2A6E5}">
      <dgm:prSet>
        <dgm:style>
          <a:lnRef idx="2">
            <a:schemeClr val="accent1">
              <a:shade val="50000"/>
            </a:schemeClr>
          </a:lnRef>
          <a:fillRef idx="1">
            <a:schemeClr val="accent1"/>
          </a:fillRef>
          <a:effectRef idx="0">
            <a:schemeClr val="accent1"/>
          </a:effectRef>
          <a:fontRef idx="minor">
            <a:schemeClr val="lt1"/>
          </a:fontRef>
        </dgm:style>
      </dgm:prSet>
      <dgm:spPr>
        <a:xfrm rot="16200000">
          <a:off x="2625763" y="1395982"/>
          <a:ext cx="2449208" cy="410600"/>
        </a:xfrm>
        <a:ln/>
      </dgm:spPr>
      <dgm:t>
        <a:bodyPr/>
        <a:lstStyle/>
        <a:p>
          <a:endParaRPr lang="en-US"/>
        </a:p>
      </dgm:t>
    </dgm:pt>
    <dgm:pt modelId="{185E2917-5954-41E5-B541-B0AF38EC2955}" type="sibTrans" cxnId="{2D831796-8480-434F-9C9B-C0FE4AD2A6E5}">
      <dgm:prSet/>
      <dgm:spPr/>
      <dgm:t>
        <a:bodyPr/>
        <a:lstStyle/>
        <a:p>
          <a:endParaRPr lang="en-US"/>
        </a:p>
      </dgm:t>
    </dgm:pt>
    <dgm:pt modelId="{92136B6C-B477-49D2-9BDB-59CBD94DB9BD}">
      <dgm:prSet>
        <dgm:style>
          <a:lnRef idx="2">
            <a:schemeClr val="accent1">
              <a:shade val="50000"/>
            </a:schemeClr>
          </a:lnRef>
          <a:fillRef idx="1">
            <a:schemeClr val="accent1"/>
          </a:fillRef>
          <a:effectRef idx="0">
            <a:schemeClr val="accent1"/>
          </a:effectRef>
          <a:fontRef idx="minor">
            <a:schemeClr val="lt1"/>
          </a:fontRef>
        </dgm:style>
      </dgm:prSet>
      <dgm:spPr>
        <a:xfrm>
          <a:off x="4832130" y="209601"/>
          <a:ext cx="1591994" cy="806793"/>
        </a:xfrm>
        <a:ln/>
      </dgm:spPr>
      <dgm:t>
        <a:bodyPr/>
        <a:lstStyle/>
        <a:p>
          <a:r>
            <a:rPr lang="en-US" dirty="0">
              <a:solidFill>
                <a:sysClr val="window" lastClr="FFFFFF"/>
              </a:solidFill>
              <a:latin typeface="Calibri"/>
              <a:ea typeface="+mn-ea"/>
              <a:cs typeface="+mn-cs"/>
            </a:rPr>
            <a:t>Change Management</a:t>
          </a:r>
        </a:p>
      </dgm:t>
    </dgm:pt>
    <dgm:pt modelId="{ACE23942-8015-448E-A6D7-154112B01C99}" type="parTrans" cxnId="{7ECF87AC-F095-471D-8F94-E92128B30488}">
      <dgm:prSet>
        <dgm:style>
          <a:lnRef idx="2">
            <a:schemeClr val="accent1">
              <a:shade val="50000"/>
            </a:schemeClr>
          </a:lnRef>
          <a:fillRef idx="1">
            <a:schemeClr val="accent1"/>
          </a:fillRef>
          <a:effectRef idx="0">
            <a:schemeClr val="accent1"/>
          </a:effectRef>
          <a:fontRef idx="minor">
            <a:schemeClr val="lt1"/>
          </a:fontRef>
        </dgm:style>
      </dgm:prSet>
      <dgm:spPr>
        <a:xfrm rot="17974560">
          <a:off x="3619974" y="1476954"/>
          <a:ext cx="2609792" cy="410600"/>
        </a:xfrm>
        <a:ln/>
      </dgm:spPr>
      <dgm:t>
        <a:bodyPr/>
        <a:lstStyle/>
        <a:p>
          <a:endParaRPr lang="en-US"/>
        </a:p>
      </dgm:t>
    </dgm:pt>
    <dgm:pt modelId="{53A4DF51-0771-48FA-B004-FF02CE8B6465}" type="sibTrans" cxnId="{7ECF87AC-F095-471D-8F94-E92128B30488}">
      <dgm:prSet/>
      <dgm:spPr/>
      <dgm:t>
        <a:bodyPr/>
        <a:lstStyle/>
        <a:p>
          <a:endParaRPr lang="en-US"/>
        </a:p>
      </dgm:t>
    </dgm:pt>
    <dgm:pt modelId="{143B6920-2610-4870-BD7B-6E1341FF510E}">
      <dgm:prSet>
        <dgm:style>
          <a:lnRef idx="2">
            <a:schemeClr val="accent1">
              <a:shade val="50000"/>
            </a:schemeClr>
          </a:lnRef>
          <a:fillRef idx="1">
            <a:schemeClr val="accent1"/>
          </a:fillRef>
          <a:effectRef idx="0">
            <a:schemeClr val="accent1"/>
          </a:effectRef>
          <a:fontRef idx="minor">
            <a:schemeClr val="lt1"/>
          </a:fontRef>
        </dgm:style>
      </dgm:prSet>
      <dgm:spPr>
        <a:xfrm>
          <a:off x="5620367" y="1155469"/>
          <a:ext cx="1613223" cy="806793"/>
        </a:xfrm>
        <a:ln/>
      </dgm:spPr>
      <dgm:t>
        <a:bodyPr/>
        <a:lstStyle/>
        <a:p>
          <a:r>
            <a:rPr lang="en-US" dirty="0">
              <a:solidFill>
                <a:sysClr val="window" lastClr="FFFFFF"/>
              </a:solidFill>
              <a:latin typeface="Calibri"/>
              <a:ea typeface="+mn-ea"/>
              <a:cs typeface="+mn-cs"/>
            </a:rPr>
            <a:t>Lessons Learned Program</a:t>
          </a:r>
        </a:p>
      </dgm:t>
    </dgm:pt>
    <dgm:pt modelId="{FE3C93AA-B2E0-4E46-B4DD-D4654251649E}" type="parTrans" cxnId="{B157AF04-46D1-489C-A46E-7FEDE10A9964}">
      <dgm:prSet>
        <dgm:style>
          <a:lnRef idx="2">
            <a:schemeClr val="accent1">
              <a:shade val="50000"/>
            </a:schemeClr>
          </a:lnRef>
          <a:fillRef idx="1">
            <a:schemeClr val="accent1"/>
          </a:fillRef>
          <a:effectRef idx="0">
            <a:schemeClr val="accent1"/>
          </a:effectRef>
          <a:fontRef idx="minor">
            <a:schemeClr val="lt1"/>
          </a:fontRef>
        </dgm:style>
      </dgm:prSet>
      <dgm:spPr>
        <a:xfrm rot="19180848">
          <a:off x="4394759" y="2004031"/>
          <a:ext cx="2286358" cy="410600"/>
        </a:xfrm>
        <a:ln/>
      </dgm:spPr>
      <dgm:t>
        <a:bodyPr/>
        <a:lstStyle/>
        <a:p>
          <a:endParaRPr lang="en-US"/>
        </a:p>
      </dgm:t>
    </dgm:pt>
    <dgm:pt modelId="{3EFE76D2-9855-42E1-862C-2769C6934CD3}" type="sibTrans" cxnId="{B157AF04-46D1-489C-A46E-7FEDE10A9964}">
      <dgm:prSet/>
      <dgm:spPr/>
      <dgm:t>
        <a:bodyPr/>
        <a:lstStyle/>
        <a:p>
          <a:endParaRPr lang="en-US"/>
        </a:p>
      </dgm:t>
    </dgm:pt>
    <dgm:pt modelId="{8018D707-7E0A-4338-AEE5-186D87DC0ABF}">
      <dgm:prSet>
        <dgm:style>
          <a:lnRef idx="2">
            <a:schemeClr val="accent1">
              <a:shade val="50000"/>
            </a:schemeClr>
          </a:lnRef>
          <a:fillRef idx="1">
            <a:schemeClr val="accent1"/>
          </a:fillRef>
          <a:effectRef idx="0">
            <a:schemeClr val="accent1"/>
          </a:effectRef>
          <a:fontRef idx="minor">
            <a:schemeClr val="lt1"/>
          </a:fontRef>
        </dgm:style>
      </dgm:prSet>
      <dgm:spPr>
        <a:xfrm>
          <a:off x="6172120" y="2259006"/>
          <a:ext cx="1571512" cy="806793"/>
        </a:xfrm>
        <a:ln/>
      </dgm:spPr>
      <dgm:t>
        <a:bodyPr/>
        <a:lstStyle/>
        <a:p>
          <a:r>
            <a:rPr lang="en-US" dirty="0">
              <a:solidFill>
                <a:sysClr val="window" lastClr="FFFFFF"/>
              </a:solidFill>
              <a:latin typeface="Calibri"/>
              <a:ea typeface="+mn-ea"/>
              <a:cs typeface="+mn-cs"/>
            </a:rPr>
            <a:t>Controller Training Program</a:t>
          </a:r>
        </a:p>
      </dgm:t>
    </dgm:pt>
    <dgm:pt modelId="{3D3A1650-BCA1-43DC-9DB4-3521A944CF71}" type="parTrans" cxnId="{0E53AACB-57DB-4C69-B933-704CA47129DE}">
      <dgm:prSet>
        <dgm:style>
          <a:lnRef idx="2">
            <a:schemeClr val="accent1">
              <a:shade val="50000"/>
            </a:schemeClr>
          </a:lnRef>
          <a:fillRef idx="1">
            <a:schemeClr val="accent1"/>
          </a:fillRef>
          <a:effectRef idx="0">
            <a:schemeClr val="accent1"/>
          </a:effectRef>
          <a:fontRef idx="minor">
            <a:schemeClr val="lt1"/>
          </a:fontRef>
        </dgm:style>
      </dgm:prSet>
      <dgm:spPr>
        <a:xfrm rot="20447088">
          <a:off x="4974620" y="2792815"/>
          <a:ext cx="2040083" cy="410600"/>
        </a:xfrm>
        <a:ln/>
      </dgm:spPr>
      <dgm:t>
        <a:bodyPr/>
        <a:lstStyle/>
        <a:p>
          <a:endParaRPr lang="en-US"/>
        </a:p>
      </dgm:t>
    </dgm:pt>
    <dgm:pt modelId="{34744148-F451-4E0F-B656-9A2EC26714E3}" type="sibTrans" cxnId="{0E53AACB-57DB-4C69-B933-704CA47129DE}">
      <dgm:prSet/>
      <dgm:spPr/>
      <dgm:t>
        <a:bodyPr/>
        <a:lstStyle/>
        <a:p>
          <a:endParaRPr lang="en-US"/>
        </a:p>
      </dgm:t>
    </dgm:pt>
    <dgm:pt modelId="{F7641FB4-65AD-4B87-8B20-49ED93BE7DC6}">
      <dgm:prSet>
        <dgm:style>
          <a:lnRef idx="2">
            <a:schemeClr val="accent1">
              <a:shade val="50000"/>
            </a:schemeClr>
          </a:lnRef>
          <a:fillRef idx="1">
            <a:schemeClr val="accent1"/>
          </a:fillRef>
          <a:effectRef idx="0">
            <a:schemeClr val="accent1"/>
          </a:effectRef>
          <a:fontRef idx="minor">
            <a:schemeClr val="lt1"/>
          </a:fontRef>
        </dgm:style>
      </dgm:prSet>
      <dgm:spPr>
        <a:xfrm>
          <a:off x="6408585" y="3362521"/>
          <a:ext cx="1603249" cy="806793"/>
        </a:xfrm>
        <a:ln/>
      </dgm:spPr>
      <dgm:t>
        <a:bodyPr/>
        <a:lstStyle/>
        <a:p>
          <a:r>
            <a:rPr lang="en-US" dirty="0">
              <a:solidFill>
                <a:sysClr val="window" lastClr="FFFFFF"/>
              </a:solidFill>
              <a:latin typeface="Calibri"/>
              <a:ea typeface="+mn-ea"/>
              <a:cs typeface="+mn-cs"/>
            </a:rPr>
            <a:t>Compliance and Deviations</a:t>
          </a:r>
        </a:p>
      </dgm:t>
    </dgm:pt>
    <dgm:pt modelId="{2E9069D6-479B-459C-B3F0-6D3001EF2B93}" type="parTrans" cxnId="{4E4B2D3E-E3ED-48D1-B8B5-D212CA0B9B0D}">
      <dgm:prSet>
        <dgm:style>
          <a:lnRef idx="2">
            <a:schemeClr val="accent1">
              <a:shade val="50000"/>
            </a:schemeClr>
          </a:lnRef>
          <a:fillRef idx="1">
            <a:schemeClr val="accent1"/>
          </a:fillRef>
          <a:effectRef idx="0">
            <a:schemeClr val="accent1"/>
          </a:effectRef>
          <a:fontRef idx="minor">
            <a:schemeClr val="lt1"/>
          </a:fontRef>
        </dgm:style>
      </dgm:prSet>
      <dgm:spPr>
        <a:xfrm rot="20916">
          <a:off x="5186199" y="3554460"/>
          <a:ext cx="2024030" cy="410600"/>
        </a:xfrm>
        <a:ln/>
      </dgm:spPr>
      <dgm:t>
        <a:bodyPr/>
        <a:lstStyle/>
        <a:p>
          <a:endParaRPr lang="en-US"/>
        </a:p>
      </dgm:t>
    </dgm:pt>
    <dgm:pt modelId="{4AFB9DCE-07A6-4214-9138-A6C630F430BB}" type="sibTrans" cxnId="{4E4B2D3E-E3ED-48D1-B8B5-D212CA0B9B0D}">
      <dgm:prSet/>
      <dgm:spPr/>
      <dgm:t>
        <a:bodyPr/>
        <a:lstStyle/>
        <a:p>
          <a:endParaRPr lang="en-US"/>
        </a:p>
      </dgm:t>
    </dgm:pt>
    <dgm:pt modelId="{4145F25C-2FE1-47B2-A4CE-C497BD7B91D0}">
      <dgm:prSet>
        <dgm:style>
          <a:lnRef idx="2">
            <a:schemeClr val="accent1">
              <a:shade val="50000"/>
            </a:schemeClr>
          </a:lnRef>
          <a:fillRef idx="1">
            <a:schemeClr val="accent1"/>
          </a:fillRef>
          <a:effectRef idx="0">
            <a:schemeClr val="accent1"/>
          </a:effectRef>
          <a:fontRef idx="minor">
            <a:schemeClr val="lt1"/>
          </a:fontRef>
        </dgm:style>
      </dgm:prSet>
      <dgm:spPr>
        <a:xfrm>
          <a:off x="-248391" y="3342079"/>
          <a:ext cx="1459922" cy="806793"/>
        </a:xfrm>
        <a:ln/>
      </dgm:spPr>
      <dgm:t>
        <a:bodyPr/>
        <a:lstStyle/>
        <a:p>
          <a:r>
            <a:rPr lang="en-US" dirty="0">
              <a:solidFill>
                <a:sysClr val="window" lastClr="FFFFFF"/>
              </a:solidFill>
              <a:latin typeface="Calibri"/>
              <a:ea typeface="+mn-ea"/>
              <a:cs typeface="+mn-cs"/>
            </a:rPr>
            <a:t>Introduction</a:t>
          </a:r>
        </a:p>
      </dgm:t>
    </dgm:pt>
    <dgm:pt modelId="{05295B2F-9584-4133-BE78-23AB6D8A3BE4}" type="parTrans" cxnId="{6DBC3A00-A549-48E8-95C8-1C1956078A77}">
      <dgm:prSet>
        <dgm:style>
          <a:lnRef idx="2">
            <a:schemeClr val="accent1">
              <a:shade val="50000"/>
            </a:schemeClr>
          </a:lnRef>
          <a:fillRef idx="1">
            <a:schemeClr val="accent1"/>
          </a:fillRef>
          <a:effectRef idx="0">
            <a:schemeClr val="accent1"/>
          </a:effectRef>
          <a:fontRef idx="minor">
            <a:schemeClr val="lt1"/>
          </a:fontRef>
        </dgm:style>
      </dgm:prSet>
      <dgm:spPr>
        <a:xfrm rot="10800000">
          <a:off x="481570" y="3540175"/>
          <a:ext cx="2032403" cy="410600"/>
        </a:xfrm>
        <a:ln/>
      </dgm:spPr>
      <dgm:t>
        <a:bodyPr/>
        <a:lstStyle/>
        <a:p>
          <a:endParaRPr lang="en-US"/>
        </a:p>
      </dgm:t>
    </dgm:pt>
    <dgm:pt modelId="{CABDD24B-6DD1-4D88-94BB-1AF34AD78507}" type="sibTrans" cxnId="{6DBC3A00-A549-48E8-95C8-1C1956078A77}">
      <dgm:prSet/>
      <dgm:spPr/>
      <dgm:t>
        <a:bodyPr/>
        <a:lstStyle/>
        <a:p>
          <a:endParaRPr lang="en-US"/>
        </a:p>
      </dgm:t>
    </dgm:pt>
    <dgm:pt modelId="{2272F65F-7D69-244D-B672-E4121DBAACC6}">
      <dgm:prSet/>
      <dgm:spPr/>
      <dgm:t>
        <a:bodyPr/>
        <a:lstStyle/>
        <a:p>
          <a:endParaRPr lang="en-US"/>
        </a:p>
      </dgm:t>
    </dgm:pt>
    <dgm:pt modelId="{8FAD08CA-4690-6A42-BBD5-F92B406288A3}" type="parTrans" cxnId="{72A7DDE1-96E8-714A-B272-E40A0B867B8F}">
      <dgm:prSet/>
      <dgm:spPr/>
      <dgm:t>
        <a:bodyPr/>
        <a:lstStyle/>
        <a:p>
          <a:endParaRPr lang="en-US"/>
        </a:p>
      </dgm:t>
    </dgm:pt>
    <dgm:pt modelId="{C74E8B87-78C3-F246-B2A2-11B905943887}" type="sibTrans" cxnId="{72A7DDE1-96E8-714A-B272-E40A0B867B8F}">
      <dgm:prSet/>
      <dgm:spPr/>
      <dgm:t>
        <a:bodyPr/>
        <a:lstStyle/>
        <a:p>
          <a:endParaRPr lang="en-US"/>
        </a:p>
      </dgm:t>
    </dgm:pt>
    <dgm:pt modelId="{20FCDDDB-9214-AB42-B646-F8334C21AE50}">
      <dgm:prSet>
        <dgm:style>
          <a:lnRef idx="2">
            <a:schemeClr val="accent1">
              <a:shade val="50000"/>
            </a:schemeClr>
          </a:lnRef>
          <a:fillRef idx="1">
            <a:schemeClr val="accent1"/>
          </a:fillRef>
          <a:effectRef idx="0">
            <a:schemeClr val="accent1"/>
          </a:effectRef>
          <a:fontRef idx="minor">
            <a:schemeClr val="lt1"/>
          </a:fontRef>
        </dgm:style>
      </dgm:prSet>
      <dgm:spPr>
        <a:xfrm>
          <a:off x="6408585" y="3362521"/>
          <a:ext cx="1603249" cy="806793"/>
        </a:xfrm>
        <a:ln/>
      </dgm:spPr>
      <dgm:t>
        <a:bodyPr/>
        <a:lstStyle/>
        <a:p>
          <a:r>
            <a:rPr lang="en-US">
              <a:solidFill>
                <a:sysClr val="window" lastClr="FFFFFF"/>
              </a:solidFill>
              <a:latin typeface="Calibri"/>
              <a:ea typeface="+mn-ea"/>
              <a:cs typeface="+mn-cs"/>
            </a:rPr>
            <a:t>Workload </a:t>
          </a:r>
          <a:r>
            <a:rPr lang="en-US" dirty="0">
              <a:solidFill>
                <a:sysClr val="window" lastClr="FFFFFF"/>
              </a:solidFill>
              <a:latin typeface="Calibri"/>
              <a:ea typeface="+mn-ea"/>
              <a:cs typeface="+mn-cs"/>
            </a:rPr>
            <a:t>Analysis Method</a:t>
          </a:r>
        </a:p>
      </dgm:t>
    </dgm:pt>
    <dgm:pt modelId="{F7825872-E101-E14B-B482-CA7A9A547021}" type="parTrans" cxnId="{F1184CCA-13FB-D54F-9850-B3357EF0328B}">
      <dgm:prSet>
        <dgm:style>
          <a:lnRef idx="2">
            <a:schemeClr val="accent1">
              <a:shade val="50000"/>
            </a:schemeClr>
          </a:lnRef>
          <a:fillRef idx="1">
            <a:schemeClr val="accent1"/>
          </a:fillRef>
          <a:effectRef idx="0">
            <a:schemeClr val="accent1"/>
          </a:effectRef>
          <a:fontRef idx="minor">
            <a:schemeClr val="lt1"/>
          </a:fontRef>
        </dgm:style>
      </dgm:prSet>
      <dgm:spPr/>
      <dgm:t>
        <a:bodyPr/>
        <a:lstStyle/>
        <a:p>
          <a:endParaRPr lang="en-US"/>
        </a:p>
      </dgm:t>
    </dgm:pt>
    <dgm:pt modelId="{F8F931A6-3D8D-2449-893B-8C04A34A7628}" type="sibTrans" cxnId="{F1184CCA-13FB-D54F-9850-B3357EF0328B}">
      <dgm:prSet/>
      <dgm:spPr/>
      <dgm:t>
        <a:bodyPr/>
        <a:lstStyle/>
        <a:p>
          <a:endParaRPr lang="en-US"/>
        </a:p>
      </dgm:t>
    </dgm:pt>
    <dgm:pt modelId="{2505534C-CB0B-3541-A03D-360AB2A797F1}">
      <dgm:prSet custScaleX="158975" custRadScaleRad="97360" custRadScaleInc="22182"/>
      <dgm:spPr>
        <a:prstGeom prst="roundRect">
          <a:avLst>
            <a:gd name="adj" fmla="val 10000"/>
          </a:avLst>
        </a:prstGeom>
      </dgm:spPr>
      <dgm:t>
        <a:bodyPr/>
        <a:lstStyle/>
        <a:p>
          <a:endParaRPr lang="en-US"/>
        </a:p>
      </dgm:t>
    </dgm:pt>
    <dgm:pt modelId="{5E0D5DBE-5EA8-E745-9B29-9DE5796337A7}" type="parTrans" cxnId="{41432A0A-90E8-594E-B27C-4AF774A3DEFE}">
      <dgm:prSet/>
      <dgm:spPr>
        <a:xfrm rot="20916">
          <a:off x="5186199" y="3554460"/>
          <a:ext cx="2024030" cy="410600"/>
        </a:xfrm>
        <a:prstGeom prst="leftArrow">
          <a:avLst>
            <a:gd name="adj1" fmla="val 60000"/>
            <a:gd name="adj2" fmla="val 50000"/>
          </a:avLst>
        </a:prstGeom>
        <a:solidFill>
          <a:srgbClr val="C00000">
            <a:tint val="60000"/>
            <a:hueOff val="0"/>
            <a:satOff val="0"/>
            <a:lumOff val="0"/>
            <a:alphaOff val="0"/>
          </a:srgbClr>
        </a:solidFill>
        <a:ln>
          <a:noFill/>
        </a:ln>
        <a:effectLst/>
      </dgm:spPr>
      <dgm:t>
        <a:bodyPr/>
        <a:lstStyle/>
        <a:p>
          <a:endParaRPr lang="en-US"/>
        </a:p>
      </dgm:t>
    </dgm:pt>
    <dgm:pt modelId="{297E6277-5DBE-FC43-BAF0-A70F0CA417AC}" type="sibTrans" cxnId="{41432A0A-90E8-594E-B27C-4AF774A3DEFE}">
      <dgm:prSet/>
      <dgm:spPr/>
      <dgm:t>
        <a:bodyPr/>
        <a:lstStyle/>
        <a:p>
          <a:endParaRPr lang="en-US"/>
        </a:p>
      </dgm:t>
    </dgm:pt>
    <dgm:pt modelId="{F56628CB-006F-4D25-A536-0C1E833ABA0B}" type="pres">
      <dgm:prSet presAssocID="{4E874F62-37B7-4B43-8E2E-28FD84AEC0A6}" presName="cycle" presStyleCnt="0">
        <dgm:presLayoutVars>
          <dgm:chMax val="1"/>
          <dgm:dir/>
          <dgm:animLvl val="ctr"/>
          <dgm:resizeHandles val="exact"/>
        </dgm:presLayoutVars>
      </dgm:prSet>
      <dgm:spPr/>
    </dgm:pt>
    <dgm:pt modelId="{8044E4A2-2713-4541-A127-E2E2E69028E2}" type="pres">
      <dgm:prSet presAssocID="{9FBFE694-96A5-446D-9CA6-10D3720E400C}" presName="centerShape" presStyleLbl="node0" presStyleIdx="0" presStyleCnt="1" custScaleX="251935" custScaleY="107870"/>
      <dgm:spPr>
        <a:prstGeom prst="ellipse">
          <a:avLst/>
        </a:prstGeom>
      </dgm:spPr>
    </dgm:pt>
    <dgm:pt modelId="{458E77A6-0E8D-4053-B0B2-24E5C063CE95}" type="pres">
      <dgm:prSet presAssocID="{05295B2F-9584-4133-BE78-23AB6D8A3BE4}" presName="parTrans" presStyleLbl="bgSibTrans2D1" presStyleIdx="0" presStyleCnt="10"/>
      <dgm:spPr>
        <a:prstGeom prst="leftArrow">
          <a:avLst>
            <a:gd name="adj1" fmla="val 60000"/>
            <a:gd name="adj2" fmla="val 50000"/>
          </a:avLst>
        </a:prstGeom>
      </dgm:spPr>
    </dgm:pt>
    <dgm:pt modelId="{7AA664FC-0237-4948-9C76-A0473450DD63}" type="pres">
      <dgm:prSet presAssocID="{4145F25C-2FE1-47B2-A4CE-C497BD7B91D0}" presName="node" presStyleLbl="node1" presStyleIdx="0" presStyleCnt="10" custScaleX="144763">
        <dgm:presLayoutVars>
          <dgm:bulletEnabled val="1"/>
        </dgm:presLayoutVars>
      </dgm:prSet>
      <dgm:spPr>
        <a:prstGeom prst="roundRect">
          <a:avLst>
            <a:gd name="adj" fmla="val 10000"/>
          </a:avLst>
        </a:prstGeom>
      </dgm:spPr>
    </dgm:pt>
    <dgm:pt modelId="{7D9FD672-4C3F-470C-B6E1-3BF7511A9278}" type="pres">
      <dgm:prSet presAssocID="{4D3E20EB-7157-4DF4-8D4D-4DF45606B031}" presName="parTrans" presStyleLbl="bgSibTrans2D1" presStyleIdx="1" presStyleCnt="10"/>
      <dgm:spPr>
        <a:prstGeom prst="leftArrow">
          <a:avLst>
            <a:gd name="adj1" fmla="val 60000"/>
            <a:gd name="adj2" fmla="val 50000"/>
          </a:avLst>
        </a:prstGeom>
      </dgm:spPr>
    </dgm:pt>
    <dgm:pt modelId="{867F37FF-8924-4602-83FD-3FF1DA25BD5F}" type="pres">
      <dgm:prSet presAssocID="{2C3C7BAE-6CE8-4711-ACD6-809EEDDF2796}" presName="node" presStyleLbl="node1" presStyleIdx="1" presStyleCnt="10" custScaleX="148722" custRadScaleRad="96818" custRadScaleInc="-15528">
        <dgm:presLayoutVars>
          <dgm:bulletEnabled val="1"/>
        </dgm:presLayoutVars>
      </dgm:prSet>
      <dgm:spPr>
        <a:prstGeom prst="roundRect">
          <a:avLst>
            <a:gd name="adj" fmla="val 10000"/>
          </a:avLst>
        </a:prstGeom>
      </dgm:spPr>
    </dgm:pt>
    <dgm:pt modelId="{7BE02A89-8721-4710-9E23-F252198E429C}" type="pres">
      <dgm:prSet presAssocID="{CC5EAFC3-CAFB-4D92-9BD8-71AF14230D70}" presName="parTrans" presStyleLbl="bgSibTrans2D1" presStyleIdx="2" presStyleCnt="10"/>
      <dgm:spPr>
        <a:prstGeom prst="leftArrow">
          <a:avLst>
            <a:gd name="adj1" fmla="val 60000"/>
            <a:gd name="adj2" fmla="val 50000"/>
          </a:avLst>
        </a:prstGeom>
      </dgm:spPr>
    </dgm:pt>
    <dgm:pt modelId="{918DFDBA-E631-4F29-B30C-17B97AFBA409}" type="pres">
      <dgm:prSet presAssocID="{2F47872F-EEA3-47A0-B5EF-A30C65D1FC02}" presName="node" presStyleLbl="node1" presStyleIdx="2" presStyleCnt="10" custScaleX="143977" custRadScaleRad="99990" custRadScaleInc="-31318">
        <dgm:presLayoutVars>
          <dgm:bulletEnabled val="1"/>
        </dgm:presLayoutVars>
      </dgm:prSet>
      <dgm:spPr>
        <a:prstGeom prst="roundRect">
          <a:avLst>
            <a:gd name="adj" fmla="val 10000"/>
          </a:avLst>
        </a:prstGeom>
      </dgm:spPr>
    </dgm:pt>
    <dgm:pt modelId="{B21869B1-9DEB-48FB-8D05-27FB69AE49FA}" type="pres">
      <dgm:prSet presAssocID="{5B6A9AE9-5FDF-40C3-804A-413E8A81E646}" presName="parTrans" presStyleLbl="bgSibTrans2D1" presStyleIdx="3" presStyleCnt="10"/>
      <dgm:spPr>
        <a:prstGeom prst="leftArrow">
          <a:avLst>
            <a:gd name="adj1" fmla="val 60000"/>
            <a:gd name="adj2" fmla="val 50000"/>
          </a:avLst>
        </a:prstGeom>
      </dgm:spPr>
    </dgm:pt>
    <dgm:pt modelId="{DB6D05F4-6303-4F38-B4A1-5B58C899B2E9}" type="pres">
      <dgm:prSet presAssocID="{07E049E1-611B-479C-BED2-682891B38432}" presName="node" presStyleLbl="node1" presStyleIdx="3" presStyleCnt="10" custScaleX="143648" custRadScaleRad="106397" custRadScaleInc="-45052">
        <dgm:presLayoutVars>
          <dgm:bulletEnabled val="1"/>
        </dgm:presLayoutVars>
      </dgm:prSet>
      <dgm:spPr>
        <a:prstGeom prst="roundRect">
          <a:avLst>
            <a:gd name="adj" fmla="val 10000"/>
          </a:avLst>
        </a:prstGeom>
      </dgm:spPr>
    </dgm:pt>
    <dgm:pt modelId="{658B614F-39F8-423F-B7C9-22727BB3C412}" type="pres">
      <dgm:prSet presAssocID="{D308D9F5-FDF4-4C08-847E-CCEBCFF582B5}" presName="parTrans" presStyleLbl="bgSibTrans2D1" presStyleIdx="4" presStyleCnt="10"/>
      <dgm:spPr>
        <a:prstGeom prst="leftArrow">
          <a:avLst>
            <a:gd name="adj1" fmla="val 60000"/>
            <a:gd name="adj2" fmla="val 50000"/>
          </a:avLst>
        </a:prstGeom>
      </dgm:spPr>
    </dgm:pt>
    <dgm:pt modelId="{B5D5EBE1-DA48-4D90-BF2B-B4154729EC44}" type="pres">
      <dgm:prSet presAssocID="{FD842246-BF66-4AD2-936E-BDD6FECB006D}" presName="node" presStyleLbl="node1" presStyleIdx="4" presStyleCnt="10" custScaleX="147784" custRadScaleRad="103890" custRadScaleInc="-19011">
        <dgm:presLayoutVars>
          <dgm:bulletEnabled val="1"/>
        </dgm:presLayoutVars>
      </dgm:prSet>
      <dgm:spPr>
        <a:prstGeom prst="roundRect">
          <a:avLst>
            <a:gd name="adj" fmla="val 10000"/>
          </a:avLst>
        </a:prstGeom>
      </dgm:spPr>
    </dgm:pt>
    <dgm:pt modelId="{3422264C-AAF5-44A8-9828-E931CE961CC3}" type="pres">
      <dgm:prSet presAssocID="{ACE23942-8015-448E-A6D7-154112B01C99}" presName="parTrans" presStyleLbl="bgSibTrans2D1" presStyleIdx="5" presStyleCnt="10" custLinFactNeighborX="-2268" custLinFactNeighborY="-15980"/>
      <dgm:spPr>
        <a:prstGeom prst="leftArrow">
          <a:avLst>
            <a:gd name="adj1" fmla="val 60000"/>
            <a:gd name="adj2" fmla="val 50000"/>
          </a:avLst>
        </a:prstGeom>
      </dgm:spPr>
    </dgm:pt>
    <dgm:pt modelId="{910AD86A-5053-4FAA-B934-CAD76A150FE6}" type="pres">
      <dgm:prSet presAssocID="{92136B6C-B477-49D2-9BDB-59CBD94DB9BD}" presName="node" presStyleLbl="node1" presStyleIdx="5" presStyleCnt="10" custScaleX="157859" custRadScaleRad="103787" custRadScaleInc="22855">
        <dgm:presLayoutVars>
          <dgm:bulletEnabled val="1"/>
        </dgm:presLayoutVars>
      </dgm:prSet>
      <dgm:spPr>
        <a:prstGeom prst="roundRect">
          <a:avLst>
            <a:gd name="adj" fmla="val 10000"/>
          </a:avLst>
        </a:prstGeom>
      </dgm:spPr>
    </dgm:pt>
    <dgm:pt modelId="{6AA42575-5413-4B65-BD64-DC8A10AF1F8A}" type="pres">
      <dgm:prSet presAssocID="{FE3C93AA-B2E0-4E46-B4DD-D4654251649E}" presName="parTrans" presStyleLbl="bgSibTrans2D1" presStyleIdx="6" presStyleCnt="10" custLinFactNeighborX="-5127" custLinFactNeighborY="-24793"/>
      <dgm:spPr>
        <a:prstGeom prst="leftArrow">
          <a:avLst>
            <a:gd name="adj1" fmla="val 60000"/>
            <a:gd name="adj2" fmla="val 50000"/>
          </a:avLst>
        </a:prstGeom>
      </dgm:spPr>
    </dgm:pt>
    <dgm:pt modelId="{064F1D21-5FD0-47EE-B863-0502AA372674}" type="pres">
      <dgm:prSet presAssocID="{143B6920-2610-4870-BD7B-6E1341FF510E}" presName="node" presStyleLbl="node1" presStyleIdx="6" presStyleCnt="10" custScaleX="159964" custRadScaleRad="110740" custRadScaleInc="56790">
        <dgm:presLayoutVars>
          <dgm:bulletEnabled val="1"/>
        </dgm:presLayoutVars>
      </dgm:prSet>
      <dgm:spPr>
        <a:prstGeom prst="roundRect">
          <a:avLst>
            <a:gd name="adj" fmla="val 10000"/>
          </a:avLst>
        </a:prstGeom>
      </dgm:spPr>
    </dgm:pt>
    <dgm:pt modelId="{CD30D0D6-4AD5-4603-ABA1-1A0283FF2805}" type="pres">
      <dgm:prSet presAssocID="{3D3A1650-BCA1-43DC-9DB4-3521A944CF71}" presName="parTrans" presStyleLbl="bgSibTrans2D1" presStyleIdx="7" presStyleCnt="10"/>
      <dgm:spPr>
        <a:prstGeom prst="leftArrow">
          <a:avLst>
            <a:gd name="adj1" fmla="val 60000"/>
            <a:gd name="adj2" fmla="val 50000"/>
          </a:avLst>
        </a:prstGeom>
      </dgm:spPr>
    </dgm:pt>
    <dgm:pt modelId="{73D1B730-C9A5-483A-B530-88D0FFEA6C93}" type="pres">
      <dgm:prSet presAssocID="{8018D707-7E0A-4338-AEE5-186D87DC0ABF}" presName="node" presStyleLbl="node1" presStyleIdx="7" presStyleCnt="10" custScaleX="155828" custRadScaleRad="101043" custRadScaleInc="37057">
        <dgm:presLayoutVars>
          <dgm:bulletEnabled val="1"/>
        </dgm:presLayoutVars>
      </dgm:prSet>
      <dgm:spPr>
        <a:prstGeom prst="roundRect">
          <a:avLst>
            <a:gd name="adj" fmla="val 10000"/>
          </a:avLst>
        </a:prstGeom>
      </dgm:spPr>
    </dgm:pt>
    <dgm:pt modelId="{654FBBBC-3F42-47C9-B4DC-5395E34168E9}" type="pres">
      <dgm:prSet presAssocID="{2E9069D6-479B-459C-B3F0-6D3001EF2B93}" presName="parTrans" presStyleLbl="bgSibTrans2D1" presStyleIdx="8" presStyleCnt="10"/>
      <dgm:spPr>
        <a:prstGeom prst="leftArrow">
          <a:avLst>
            <a:gd name="adj1" fmla="val 60000"/>
            <a:gd name="adj2" fmla="val 50000"/>
          </a:avLst>
        </a:prstGeom>
      </dgm:spPr>
    </dgm:pt>
    <dgm:pt modelId="{FB44F802-D632-41DE-9672-E068790CEA2E}" type="pres">
      <dgm:prSet presAssocID="{F7641FB4-65AD-4B87-8B20-49ED93BE7DC6}" presName="node" presStyleLbl="node1" presStyleIdx="8" presStyleCnt="10" custScaleX="158975" custRadScaleRad="97360" custRadScaleInc="22182">
        <dgm:presLayoutVars>
          <dgm:bulletEnabled val="1"/>
        </dgm:presLayoutVars>
      </dgm:prSet>
      <dgm:spPr>
        <a:prstGeom prst="roundRect">
          <a:avLst>
            <a:gd name="adj" fmla="val 10000"/>
          </a:avLst>
        </a:prstGeom>
      </dgm:spPr>
    </dgm:pt>
    <dgm:pt modelId="{B8ABA416-6655-A548-B000-3490E297396C}" type="pres">
      <dgm:prSet presAssocID="{F7825872-E101-E14B-B482-CA7A9A547021}" presName="parTrans" presStyleLbl="bgSibTrans2D1" presStyleIdx="9" presStyleCnt="10"/>
      <dgm:spPr/>
    </dgm:pt>
    <dgm:pt modelId="{A73983DD-18C7-7A40-8E20-DE4FF8233D03}" type="pres">
      <dgm:prSet presAssocID="{20FCDDDB-9214-AB42-B646-F8334C21AE50}" presName="node" presStyleLbl="node1" presStyleIdx="9" presStyleCnt="10" custScaleX="189807">
        <dgm:presLayoutVars>
          <dgm:bulletEnabled val="1"/>
        </dgm:presLayoutVars>
      </dgm:prSet>
      <dgm:spPr/>
    </dgm:pt>
  </dgm:ptLst>
  <dgm:cxnLst>
    <dgm:cxn modelId="{6DBC3A00-A549-48E8-95C8-1C1956078A77}" srcId="{9FBFE694-96A5-446D-9CA6-10D3720E400C}" destId="{4145F25C-2FE1-47B2-A4CE-C497BD7B91D0}" srcOrd="0" destOrd="0" parTransId="{05295B2F-9584-4133-BE78-23AB6D8A3BE4}" sibTransId="{CABDD24B-6DD1-4D88-94BB-1AF34AD78507}"/>
    <dgm:cxn modelId="{B157AF04-46D1-489C-A46E-7FEDE10A9964}" srcId="{9FBFE694-96A5-446D-9CA6-10D3720E400C}" destId="{143B6920-2610-4870-BD7B-6E1341FF510E}" srcOrd="6" destOrd="0" parTransId="{FE3C93AA-B2E0-4E46-B4DD-D4654251649E}" sibTransId="{3EFE76D2-9855-42E1-862C-2769C6934CD3}"/>
    <dgm:cxn modelId="{7861F708-BBC1-E24D-A2A6-7D694A42CE7F}" type="presOf" srcId="{CC5EAFC3-CAFB-4D92-9BD8-71AF14230D70}" destId="{7BE02A89-8721-4710-9E23-F252198E429C}" srcOrd="0" destOrd="0" presId="urn:microsoft.com/office/officeart/2005/8/layout/radial4"/>
    <dgm:cxn modelId="{41432A0A-90E8-594E-B27C-4AF774A3DEFE}" srcId="{4E874F62-37B7-4B43-8E2E-28FD84AEC0A6}" destId="{2505534C-CB0B-3541-A03D-360AB2A797F1}" srcOrd="2" destOrd="0" parTransId="{5E0D5DBE-5EA8-E745-9B29-9DE5796337A7}" sibTransId="{297E6277-5DBE-FC43-BAF0-A70F0CA417AC}"/>
    <dgm:cxn modelId="{FCFFEA14-3B4B-2E45-A270-8892B50E8DDE}" type="presOf" srcId="{F7641FB4-65AD-4B87-8B20-49ED93BE7DC6}" destId="{FB44F802-D632-41DE-9672-E068790CEA2E}" srcOrd="0" destOrd="0" presId="urn:microsoft.com/office/officeart/2005/8/layout/radial4"/>
    <dgm:cxn modelId="{39D4D01D-67B9-8D4E-BB7B-053E18AAE8BA}" type="presOf" srcId="{9FBFE694-96A5-446D-9CA6-10D3720E400C}" destId="{8044E4A2-2713-4541-A127-E2E2E69028E2}" srcOrd="0" destOrd="0" presId="urn:microsoft.com/office/officeart/2005/8/layout/radial4"/>
    <dgm:cxn modelId="{07F23B2D-0891-1C43-913A-18411710FA08}" type="presOf" srcId="{4145F25C-2FE1-47B2-A4CE-C497BD7B91D0}" destId="{7AA664FC-0237-4948-9C76-A0473450DD63}" srcOrd="0" destOrd="0" presId="urn:microsoft.com/office/officeart/2005/8/layout/radial4"/>
    <dgm:cxn modelId="{4E4B2D3E-E3ED-48D1-B8B5-D212CA0B9B0D}" srcId="{9FBFE694-96A5-446D-9CA6-10D3720E400C}" destId="{F7641FB4-65AD-4B87-8B20-49ED93BE7DC6}" srcOrd="8" destOrd="0" parTransId="{2E9069D6-479B-459C-B3F0-6D3001EF2B93}" sibTransId="{4AFB9DCE-07A6-4214-9138-A6C630F430BB}"/>
    <dgm:cxn modelId="{55C64B60-59D2-E04E-9FF4-5D06D0DE46F6}" type="presOf" srcId="{ACE23942-8015-448E-A6D7-154112B01C99}" destId="{3422264C-AAF5-44A8-9828-E931CE961CC3}" srcOrd="0" destOrd="0" presId="urn:microsoft.com/office/officeart/2005/8/layout/radial4"/>
    <dgm:cxn modelId="{5802B741-95A2-429F-BD21-DC0FD5D1DDC6}" srcId="{9FBFE694-96A5-446D-9CA6-10D3720E400C}" destId="{07E049E1-611B-479C-BED2-682891B38432}" srcOrd="3" destOrd="0" parTransId="{5B6A9AE9-5FDF-40C3-804A-413E8A81E646}" sibTransId="{ABE01EC3-2978-4CBA-8741-5F7472121A5F}"/>
    <dgm:cxn modelId="{D7671442-B788-2449-B0DD-84B287C235F9}" type="presOf" srcId="{2F47872F-EEA3-47A0-B5EF-A30C65D1FC02}" destId="{918DFDBA-E631-4F29-B30C-17B97AFBA409}" srcOrd="0" destOrd="0" presId="urn:microsoft.com/office/officeart/2005/8/layout/radial4"/>
    <dgm:cxn modelId="{D2DBE565-29F0-C843-BD92-48CC7A41D5B5}" type="presOf" srcId="{8018D707-7E0A-4338-AEE5-186D87DC0ABF}" destId="{73D1B730-C9A5-483A-B530-88D0FFEA6C93}" srcOrd="0" destOrd="0" presId="urn:microsoft.com/office/officeart/2005/8/layout/radial4"/>
    <dgm:cxn modelId="{3BBAF766-6B36-4D03-88D0-0C707B5EEB1B}" srcId="{4E874F62-37B7-4B43-8E2E-28FD84AEC0A6}" destId="{9FBFE694-96A5-446D-9CA6-10D3720E400C}" srcOrd="0" destOrd="0" parTransId="{DF7179EF-51B7-479E-8086-5570CA60E3A8}" sibTransId="{70C8B10B-AE39-4DF0-A4E6-79A4D02AED18}"/>
    <dgm:cxn modelId="{230C6768-9FB0-1A45-B6C2-0A4F063CA3DA}" type="presOf" srcId="{2E9069D6-479B-459C-B3F0-6D3001EF2B93}" destId="{654FBBBC-3F42-47C9-B4DC-5395E34168E9}" srcOrd="0" destOrd="0" presId="urn:microsoft.com/office/officeart/2005/8/layout/radial4"/>
    <dgm:cxn modelId="{04C6534B-45C5-2D42-933F-5407498E3E82}" type="presOf" srcId="{05295B2F-9584-4133-BE78-23AB6D8A3BE4}" destId="{458E77A6-0E8D-4053-B0B2-24E5C063CE95}" srcOrd="0" destOrd="0" presId="urn:microsoft.com/office/officeart/2005/8/layout/radial4"/>
    <dgm:cxn modelId="{72C1946F-9457-534C-8785-88A9453D2CD3}" type="presOf" srcId="{FE3C93AA-B2E0-4E46-B4DD-D4654251649E}" destId="{6AA42575-5413-4B65-BD64-DC8A10AF1F8A}" srcOrd="0" destOrd="0" presId="urn:microsoft.com/office/officeart/2005/8/layout/radial4"/>
    <dgm:cxn modelId="{1F7BA55A-0FC3-2E40-B191-06D955828178}" type="presOf" srcId="{D308D9F5-FDF4-4C08-847E-CCEBCFF582B5}" destId="{658B614F-39F8-423F-B7C9-22727BB3C412}" srcOrd="0" destOrd="0" presId="urn:microsoft.com/office/officeart/2005/8/layout/radial4"/>
    <dgm:cxn modelId="{C87F7288-EE21-4420-91EB-9BB16BD390E2}" srcId="{9FBFE694-96A5-446D-9CA6-10D3720E400C}" destId="{2F47872F-EEA3-47A0-B5EF-A30C65D1FC02}" srcOrd="2" destOrd="0" parTransId="{CC5EAFC3-CAFB-4D92-9BD8-71AF14230D70}" sibTransId="{47AA3C9F-6B26-4317-AF0D-B0B1786E5A75}"/>
    <dgm:cxn modelId="{2D831796-8480-434F-9C9B-C0FE4AD2A6E5}" srcId="{9FBFE694-96A5-446D-9CA6-10D3720E400C}" destId="{FD842246-BF66-4AD2-936E-BDD6FECB006D}" srcOrd="4" destOrd="0" parTransId="{D308D9F5-FDF4-4C08-847E-CCEBCFF582B5}" sibTransId="{185E2917-5954-41E5-B541-B0AF38EC2955}"/>
    <dgm:cxn modelId="{9AF81C96-C425-7C45-B99D-6B72993E6D1A}" type="presOf" srcId="{143B6920-2610-4870-BD7B-6E1341FF510E}" destId="{064F1D21-5FD0-47EE-B863-0502AA372674}" srcOrd="0" destOrd="0" presId="urn:microsoft.com/office/officeart/2005/8/layout/radial4"/>
    <dgm:cxn modelId="{FB9D09A2-C500-5346-9F06-B045FDCD9B89}" type="presOf" srcId="{20FCDDDB-9214-AB42-B646-F8334C21AE50}" destId="{A73983DD-18C7-7A40-8E20-DE4FF8233D03}" srcOrd="0" destOrd="0" presId="urn:microsoft.com/office/officeart/2005/8/layout/radial4"/>
    <dgm:cxn modelId="{DDA75FA8-21A3-864C-AFC3-4C59A3AE2F84}" type="presOf" srcId="{92136B6C-B477-49D2-9BDB-59CBD94DB9BD}" destId="{910AD86A-5053-4FAA-B934-CAD76A150FE6}" srcOrd="0" destOrd="0" presId="urn:microsoft.com/office/officeart/2005/8/layout/radial4"/>
    <dgm:cxn modelId="{7ECF87AC-F095-471D-8F94-E92128B30488}" srcId="{9FBFE694-96A5-446D-9CA6-10D3720E400C}" destId="{92136B6C-B477-49D2-9BDB-59CBD94DB9BD}" srcOrd="5" destOrd="0" parTransId="{ACE23942-8015-448E-A6D7-154112B01C99}" sibTransId="{53A4DF51-0771-48FA-B004-FF02CE8B6465}"/>
    <dgm:cxn modelId="{108B2FAD-7268-C74B-83ED-E2C81168E029}" type="presOf" srcId="{5B6A9AE9-5FDF-40C3-804A-413E8A81E646}" destId="{B21869B1-9DEB-48FB-8D05-27FB69AE49FA}" srcOrd="0" destOrd="0" presId="urn:microsoft.com/office/officeart/2005/8/layout/radial4"/>
    <dgm:cxn modelId="{BC0431B0-6B07-B94F-ABCB-7E59F966EAF6}" type="presOf" srcId="{4E874F62-37B7-4B43-8E2E-28FD84AEC0A6}" destId="{F56628CB-006F-4D25-A536-0C1E833ABA0B}" srcOrd="0" destOrd="0" presId="urn:microsoft.com/office/officeart/2005/8/layout/radial4"/>
    <dgm:cxn modelId="{55AA70B3-12A1-D64B-B62D-CAEA270E3F0D}" type="presOf" srcId="{3D3A1650-BCA1-43DC-9DB4-3521A944CF71}" destId="{CD30D0D6-4AD5-4603-ABA1-1A0283FF2805}" srcOrd="0" destOrd="0" presId="urn:microsoft.com/office/officeart/2005/8/layout/radial4"/>
    <dgm:cxn modelId="{EC833DC1-9C3D-8F4C-8374-4BF897153F3F}" type="presOf" srcId="{F7825872-E101-E14B-B482-CA7A9A547021}" destId="{B8ABA416-6655-A548-B000-3490E297396C}" srcOrd="0" destOrd="0" presId="urn:microsoft.com/office/officeart/2005/8/layout/radial4"/>
    <dgm:cxn modelId="{A78B89C7-3473-8949-9F03-69ABD652852D}" type="presOf" srcId="{07E049E1-611B-479C-BED2-682891B38432}" destId="{DB6D05F4-6303-4F38-B4A1-5B58C899B2E9}" srcOrd="0" destOrd="0" presId="urn:microsoft.com/office/officeart/2005/8/layout/radial4"/>
    <dgm:cxn modelId="{F1184CCA-13FB-D54F-9850-B3357EF0328B}" srcId="{9FBFE694-96A5-446D-9CA6-10D3720E400C}" destId="{20FCDDDB-9214-AB42-B646-F8334C21AE50}" srcOrd="9" destOrd="0" parTransId="{F7825872-E101-E14B-B482-CA7A9A547021}" sibTransId="{F8F931A6-3D8D-2449-893B-8C04A34A7628}"/>
    <dgm:cxn modelId="{E9505FCB-BC53-354F-8217-01B729E923AF}" type="presOf" srcId="{2C3C7BAE-6CE8-4711-ACD6-809EEDDF2796}" destId="{867F37FF-8924-4602-83FD-3FF1DA25BD5F}" srcOrd="0" destOrd="0" presId="urn:microsoft.com/office/officeart/2005/8/layout/radial4"/>
    <dgm:cxn modelId="{0E53AACB-57DB-4C69-B933-704CA47129DE}" srcId="{9FBFE694-96A5-446D-9CA6-10D3720E400C}" destId="{8018D707-7E0A-4338-AEE5-186D87DC0ABF}" srcOrd="7" destOrd="0" parTransId="{3D3A1650-BCA1-43DC-9DB4-3521A944CF71}" sibTransId="{34744148-F451-4E0F-B656-9A2EC26714E3}"/>
    <dgm:cxn modelId="{F87BDAD5-DE63-EB42-8F2E-4EFB4525686A}" type="presOf" srcId="{4D3E20EB-7157-4DF4-8D4D-4DF45606B031}" destId="{7D9FD672-4C3F-470C-B6E1-3BF7511A9278}" srcOrd="0" destOrd="0" presId="urn:microsoft.com/office/officeart/2005/8/layout/radial4"/>
    <dgm:cxn modelId="{BCACEDDB-047B-490D-BD5E-05CB70345DE4}" srcId="{9FBFE694-96A5-446D-9CA6-10D3720E400C}" destId="{2C3C7BAE-6CE8-4711-ACD6-809EEDDF2796}" srcOrd="1" destOrd="0" parTransId="{4D3E20EB-7157-4DF4-8D4D-4DF45606B031}" sibTransId="{79E5CB2E-89B1-4C69-AD89-123E6A17B310}"/>
    <dgm:cxn modelId="{7A0E1ADE-9633-9A4B-AA1E-1202224E61D9}" type="presOf" srcId="{FD842246-BF66-4AD2-936E-BDD6FECB006D}" destId="{B5D5EBE1-DA48-4D90-BF2B-B4154729EC44}" srcOrd="0" destOrd="0" presId="urn:microsoft.com/office/officeart/2005/8/layout/radial4"/>
    <dgm:cxn modelId="{72A7DDE1-96E8-714A-B272-E40A0B867B8F}" srcId="{4E874F62-37B7-4B43-8E2E-28FD84AEC0A6}" destId="{2272F65F-7D69-244D-B672-E4121DBAACC6}" srcOrd="1" destOrd="0" parTransId="{8FAD08CA-4690-6A42-BBD5-F92B406288A3}" sibTransId="{C74E8B87-78C3-F246-B2A2-11B905943887}"/>
    <dgm:cxn modelId="{A1F8C3A3-26FD-C94B-9794-9916730C2DAA}" type="presParOf" srcId="{F56628CB-006F-4D25-A536-0C1E833ABA0B}" destId="{8044E4A2-2713-4541-A127-E2E2E69028E2}" srcOrd="0" destOrd="0" presId="urn:microsoft.com/office/officeart/2005/8/layout/radial4"/>
    <dgm:cxn modelId="{62C44E86-9FE3-5341-9AEA-F272AACC34D8}" type="presParOf" srcId="{F56628CB-006F-4D25-A536-0C1E833ABA0B}" destId="{458E77A6-0E8D-4053-B0B2-24E5C063CE95}" srcOrd="1" destOrd="0" presId="urn:microsoft.com/office/officeart/2005/8/layout/radial4"/>
    <dgm:cxn modelId="{C92C8C16-7E64-7F4C-8F3C-3EE8FAF85299}" type="presParOf" srcId="{F56628CB-006F-4D25-A536-0C1E833ABA0B}" destId="{7AA664FC-0237-4948-9C76-A0473450DD63}" srcOrd="2" destOrd="0" presId="urn:microsoft.com/office/officeart/2005/8/layout/radial4"/>
    <dgm:cxn modelId="{060FC294-AF5A-164F-8C57-510E8E6B9D38}" type="presParOf" srcId="{F56628CB-006F-4D25-A536-0C1E833ABA0B}" destId="{7D9FD672-4C3F-470C-B6E1-3BF7511A9278}" srcOrd="3" destOrd="0" presId="urn:microsoft.com/office/officeart/2005/8/layout/radial4"/>
    <dgm:cxn modelId="{84382472-2F2F-7A48-9A0B-72B58414A8CB}" type="presParOf" srcId="{F56628CB-006F-4D25-A536-0C1E833ABA0B}" destId="{867F37FF-8924-4602-83FD-3FF1DA25BD5F}" srcOrd="4" destOrd="0" presId="urn:microsoft.com/office/officeart/2005/8/layout/radial4"/>
    <dgm:cxn modelId="{42820828-D84E-5C4F-AF94-0A63F0B234F9}" type="presParOf" srcId="{F56628CB-006F-4D25-A536-0C1E833ABA0B}" destId="{7BE02A89-8721-4710-9E23-F252198E429C}" srcOrd="5" destOrd="0" presId="urn:microsoft.com/office/officeart/2005/8/layout/radial4"/>
    <dgm:cxn modelId="{548D3AA7-39F2-C94D-8274-29AE44115CB5}" type="presParOf" srcId="{F56628CB-006F-4D25-A536-0C1E833ABA0B}" destId="{918DFDBA-E631-4F29-B30C-17B97AFBA409}" srcOrd="6" destOrd="0" presId="urn:microsoft.com/office/officeart/2005/8/layout/radial4"/>
    <dgm:cxn modelId="{7B091CC1-DD89-284B-940B-8246059FBC05}" type="presParOf" srcId="{F56628CB-006F-4D25-A536-0C1E833ABA0B}" destId="{B21869B1-9DEB-48FB-8D05-27FB69AE49FA}" srcOrd="7" destOrd="0" presId="urn:microsoft.com/office/officeart/2005/8/layout/radial4"/>
    <dgm:cxn modelId="{989A37AB-B8D0-0442-A3FF-F6641C069E24}" type="presParOf" srcId="{F56628CB-006F-4D25-A536-0C1E833ABA0B}" destId="{DB6D05F4-6303-4F38-B4A1-5B58C899B2E9}" srcOrd="8" destOrd="0" presId="urn:microsoft.com/office/officeart/2005/8/layout/radial4"/>
    <dgm:cxn modelId="{998803FA-D1A3-5D4A-82CB-6707D6C240D5}" type="presParOf" srcId="{F56628CB-006F-4D25-A536-0C1E833ABA0B}" destId="{658B614F-39F8-423F-B7C9-22727BB3C412}" srcOrd="9" destOrd="0" presId="urn:microsoft.com/office/officeart/2005/8/layout/radial4"/>
    <dgm:cxn modelId="{1031740B-9854-3E4D-A198-7711E42CDD61}" type="presParOf" srcId="{F56628CB-006F-4D25-A536-0C1E833ABA0B}" destId="{B5D5EBE1-DA48-4D90-BF2B-B4154729EC44}" srcOrd="10" destOrd="0" presId="urn:microsoft.com/office/officeart/2005/8/layout/radial4"/>
    <dgm:cxn modelId="{98FA7C3F-F01B-F44F-81DD-49BC7094531D}" type="presParOf" srcId="{F56628CB-006F-4D25-A536-0C1E833ABA0B}" destId="{3422264C-AAF5-44A8-9828-E931CE961CC3}" srcOrd="11" destOrd="0" presId="urn:microsoft.com/office/officeart/2005/8/layout/radial4"/>
    <dgm:cxn modelId="{BDEB4662-3718-0C48-916B-4EE7B53F9F75}" type="presParOf" srcId="{F56628CB-006F-4D25-A536-0C1E833ABA0B}" destId="{910AD86A-5053-4FAA-B934-CAD76A150FE6}" srcOrd="12" destOrd="0" presId="urn:microsoft.com/office/officeart/2005/8/layout/radial4"/>
    <dgm:cxn modelId="{FCB06CC3-7B13-244B-B55B-F16338A9F07A}" type="presParOf" srcId="{F56628CB-006F-4D25-A536-0C1E833ABA0B}" destId="{6AA42575-5413-4B65-BD64-DC8A10AF1F8A}" srcOrd="13" destOrd="0" presId="urn:microsoft.com/office/officeart/2005/8/layout/radial4"/>
    <dgm:cxn modelId="{5F2A5A16-46DE-0C45-BA70-6DB3C415F296}" type="presParOf" srcId="{F56628CB-006F-4D25-A536-0C1E833ABA0B}" destId="{064F1D21-5FD0-47EE-B863-0502AA372674}" srcOrd="14" destOrd="0" presId="urn:microsoft.com/office/officeart/2005/8/layout/radial4"/>
    <dgm:cxn modelId="{A458359F-D412-E540-8A45-25AF8367BA92}" type="presParOf" srcId="{F56628CB-006F-4D25-A536-0C1E833ABA0B}" destId="{CD30D0D6-4AD5-4603-ABA1-1A0283FF2805}" srcOrd="15" destOrd="0" presId="urn:microsoft.com/office/officeart/2005/8/layout/radial4"/>
    <dgm:cxn modelId="{F63D5A5A-BEFA-124B-BF2C-1B5190FCF987}" type="presParOf" srcId="{F56628CB-006F-4D25-A536-0C1E833ABA0B}" destId="{73D1B730-C9A5-483A-B530-88D0FFEA6C93}" srcOrd="16" destOrd="0" presId="urn:microsoft.com/office/officeart/2005/8/layout/radial4"/>
    <dgm:cxn modelId="{576852B7-3EB5-E042-BA22-7C7E18CFAE24}" type="presParOf" srcId="{F56628CB-006F-4D25-A536-0C1E833ABA0B}" destId="{654FBBBC-3F42-47C9-B4DC-5395E34168E9}" srcOrd="17" destOrd="0" presId="urn:microsoft.com/office/officeart/2005/8/layout/radial4"/>
    <dgm:cxn modelId="{358024FA-7DF1-5F4F-8848-CE604BC6A84A}" type="presParOf" srcId="{F56628CB-006F-4D25-A536-0C1E833ABA0B}" destId="{FB44F802-D632-41DE-9672-E068790CEA2E}" srcOrd="18" destOrd="0" presId="urn:microsoft.com/office/officeart/2005/8/layout/radial4"/>
    <dgm:cxn modelId="{9B7968CE-4385-324B-8BD7-17AE985899D5}" type="presParOf" srcId="{F56628CB-006F-4D25-A536-0C1E833ABA0B}" destId="{B8ABA416-6655-A548-B000-3490E297396C}" srcOrd="19" destOrd="0" presId="urn:microsoft.com/office/officeart/2005/8/layout/radial4"/>
    <dgm:cxn modelId="{12386601-92D8-364D-97A5-8AA3E5C0FD77}" type="presParOf" srcId="{F56628CB-006F-4D25-A536-0C1E833ABA0B}" destId="{A73983DD-18C7-7A40-8E20-DE4FF8233D03}" srcOrd="20" destOrd="0" presId="urn:microsoft.com/office/officeart/2005/8/layout/radial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4E874F62-37B7-4B43-8E2E-28FD84AEC0A6}" type="doc">
      <dgm:prSet loTypeId="urn:microsoft.com/office/officeart/2005/8/layout/radial4" loCatId="relationship" qsTypeId="urn:microsoft.com/office/officeart/2005/8/quickstyle/simple1" qsCatId="simple" csTypeId="urn:microsoft.com/office/officeart/2005/8/colors/accent4_2" csCatId="accent4" phldr="1"/>
      <dgm:spPr/>
      <dgm:t>
        <a:bodyPr/>
        <a:lstStyle/>
        <a:p>
          <a:endParaRPr lang="en-US"/>
        </a:p>
      </dgm:t>
    </dgm:pt>
    <dgm:pt modelId="{9FBFE694-96A5-446D-9CA6-10D3720E400C}">
      <dgm:prSet phldrT="[Text]" custT="1">
        <dgm:style>
          <a:lnRef idx="2">
            <a:schemeClr val="accent1">
              <a:shade val="50000"/>
            </a:schemeClr>
          </a:lnRef>
          <a:fillRef idx="1">
            <a:schemeClr val="accent1"/>
          </a:fillRef>
          <a:effectRef idx="0">
            <a:schemeClr val="accent1"/>
          </a:effectRef>
          <a:fontRef idx="minor">
            <a:schemeClr val="lt1"/>
          </a:fontRef>
        </dgm:style>
      </dgm:prSet>
      <dgm:spPr>
        <a:xfrm>
          <a:off x="2632261" y="2968433"/>
          <a:ext cx="2436213" cy="1554085"/>
        </a:xfrm>
        <a:ln/>
      </dgm:spPr>
      <dgm:t>
        <a:bodyPr/>
        <a:lstStyle/>
        <a:p>
          <a:r>
            <a:rPr lang="en-US" sz="1100" dirty="0">
              <a:solidFill>
                <a:sysClr val="window" lastClr="FFFFFF"/>
              </a:solidFill>
              <a:latin typeface="Calibri"/>
              <a:ea typeface="+mn-ea"/>
              <a:cs typeface="+mn-cs"/>
            </a:rPr>
            <a:t>Roles and Responsibilities</a:t>
          </a:r>
        </a:p>
      </dgm:t>
    </dgm:pt>
    <dgm:pt modelId="{DF7179EF-51B7-479E-8086-5570CA60E3A8}" type="parTrans" cxnId="{3BBAF766-6B36-4D03-88D0-0C707B5EEB1B}">
      <dgm:prSet/>
      <dgm:spPr/>
      <dgm:t>
        <a:bodyPr/>
        <a:lstStyle/>
        <a:p>
          <a:endParaRPr lang="en-US"/>
        </a:p>
      </dgm:t>
    </dgm:pt>
    <dgm:pt modelId="{70C8B10B-AE39-4DF0-A4E6-79A4D02AED18}" type="sibTrans" cxnId="{3BBAF766-6B36-4D03-88D0-0C707B5EEB1B}">
      <dgm:prSet/>
      <dgm:spPr/>
      <dgm:t>
        <a:bodyPr/>
        <a:lstStyle/>
        <a:p>
          <a:endParaRPr lang="en-US"/>
        </a:p>
      </dgm:t>
    </dgm:pt>
    <dgm:pt modelId="{2C3C7BAE-6CE8-4711-ACD6-809EEDDF2796}">
      <dgm:prSet phldrT="[Text]">
        <dgm:style>
          <a:lnRef idx="2">
            <a:schemeClr val="accent1">
              <a:shade val="50000"/>
            </a:schemeClr>
          </a:lnRef>
          <a:fillRef idx="1">
            <a:schemeClr val="accent1"/>
          </a:fillRef>
          <a:effectRef idx="0">
            <a:schemeClr val="accent1"/>
          </a:effectRef>
          <a:fontRef idx="minor">
            <a:schemeClr val="lt1"/>
          </a:fontRef>
        </dgm:style>
      </dgm:prSet>
      <dgm:spPr>
        <a:xfrm>
          <a:off x="23920" y="2259002"/>
          <a:ext cx="1499848" cy="806793"/>
        </a:xfrm>
        <a:ln/>
      </dgm:spPr>
      <dgm:t>
        <a:bodyPr/>
        <a:lstStyle/>
        <a:p>
          <a:r>
            <a:rPr lang="en-US" dirty="0">
              <a:solidFill>
                <a:sysClr val="window" lastClr="FFFFFF"/>
              </a:solidFill>
              <a:latin typeface="Calibri"/>
              <a:ea typeface="+mn-ea"/>
              <a:cs typeface="+mn-cs"/>
            </a:rPr>
            <a:t>Adequate Information - SCADA</a:t>
          </a:r>
        </a:p>
      </dgm:t>
    </dgm:pt>
    <dgm:pt modelId="{4D3E20EB-7157-4DF4-8D4D-4DF45606B031}" type="parTrans" cxnId="{BCACEDDB-047B-490D-BD5E-05CB70345DE4}">
      <dgm:prSet>
        <dgm:style>
          <a:lnRef idx="2">
            <a:schemeClr val="accent1">
              <a:shade val="50000"/>
            </a:schemeClr>
          </a:lnRef>
          <a:fillRef idx="1">
            <a:schemeClr val="accent1"/>
          </a:fillRef>
          <a:effectRef idx="0">
            <a:schemeClr val="accent1"/>
          </a:effectRef>
          <a:fontRef idx="minor">
            <a:schemeClr val="lt1"/>
          </a:fontRef>
        </dgm:style>
      </dgm:prSet>
      <dgm:spPr>
        <a:xfrm rot="11963664">
          <a:off x="716709" y="2791452"/>
          <a:ext cx="2013762" cy="410600"/>
        </a:xfrm>
        <a:ln/>
      </dgm:spPr>
      <dgm:t>
        <a:bodyPr/>
        <a:lstStyle/>
        <a:p>
          <a:endParaRPr lang="en-US"/>
        </a:p>
      </dgm:t>
    </dgm:pt>
    <dgm:pt modelId="{79E5CB2E-89B1-4C69-AD89-123E6A17B310}" type="sibTrans" cxnId="{BCACEDDB-047B-490D-BD5E-05CB70345DE4}">
      <dgm:prSet/>
      <dgm:spPr/>
      <dgm:t>
        <a:bodyPr/>
        <a:lstStyle/>
        <a:p>
          <a:endParaRPr lang="en-US"/>
        </a:p>
      </dgm:t>
    </dgm:pt>
    <dgm:pt modelId="{2F47872F-EEA3-47A0-B5EF-A30C65D1FC02}">
      <dgm:prSet phldrT="[Text]">
        <dgm:style>
          <a:lnRef idx="2">
            <a:schemeClr val="accent1">
              <a:shade val="50000"/>
            </a:schemeClr>
          </a:lnRef>
          <a:fillRef idx="1">
            <a:schemeClr val="accent1"/>
          </a:fillRef>
          <a:effectRef idx="0">
            <a:schemeClr val="accent1"/>
          </a:effectRef>
          <a:fontRef idx="minor">
            <a:schemeClr val="lt1"/>
          </a:fontRef>
        </dgm:style>
      </dgm:prSet>
      <dgm:spPr>
        <a:xfrm>
          <a:off x="496859" y="1234303"/>
          <a:ext cx="1451996" cy="806793"/>
        </a:xfrm>
        <a:ln/>
      </dgm:spPr>
      <dgm:t>
        <a:bodyPr/>
        <a:lstStyle/>
        <a:p>
          <a:r>
            <a:rPr lang="en-US" dirty="0">
              <a:solidFill>
                <a:sysClr val="window" lastClr="FFFFFF"/>
              </a:solidFill>
              <a:latin typeface="Calibri"/>
              <a:ea typeface="+mn-ea"/>
              <a:cs typeface="+mn-cs"/>
            </a:rPr>
            <a:t>Adequate Information - Shift Change</a:t>
          </a:r>
        </a:p>
      </dgm:t>
    </dgm:pt>
    <dgm:pt modelId="{CC5EAFC3-CAFB-4D92-9BD8-71AF14230D70}" type="parTrans" cxnId="{C87F7288-EE21-4420-91EB-9BB16BD390E2}">
      <dgm:prSet>
        <dgm:style>
          <a:lnRef idx="2">
            <a:schemeClr val="accent1">
              <a:shade val="50000"/>
            </a:schemeClr>
          </a:lnRef>
          <a:fillRef idx="1">
            <a:schemeClr val="accent1"/>
          </a:fillRef>
          <a:effectRef idx="0">
            <a:schemeClr val="accent1"/>
          </a:effectRef>
          <a:fontRef idx="minor">
            <a:schemeClr val="lt1"/>
          </a:fontRef>
        </dgm:style>
      </dgm:prSet>
      <dgm:spPr>
        <a:xfrm rot="13124184">
          <a:off x="973777" y="2140955"/>
          <a:ext cx="2264700" cy="410600"/>
        </a:xfrm>
        <a:ln/>
      </dgm:spPr>
      <dgm:t>
        <a:bodyPr/>
        <a:lstStyle/>
        <a:p>
          <a:endParaRPr lang="en-US"/>
        </a:p>
      </dgm:t>
    </dgm:pt>
    <dgm:pt modelId="{47AA3C9F-6B26-4317-AF0D-B0B1786E5A75}" type="sibTrans" cxnId="{C87F7288-EE21-4420-91EB-9BB16BD390E2}">
      <dgm:prSet/>
      <dgm:spPr/>
      <dgm:t>
        <a:bodyPr/>
        <a:lstStyle/>
        <a:p>
          <a:endParaRPr lang="en-US"/>
        </a:p>
      </dgm:t>
    </dgm:pt>
    <dgm:pt modelId="{07E049E1-611B-479C-BED2-682891B38432}">
      <dgm:prSet phldrT="[Text]">
        <dgm:style>
          <a:lnRef idx="2">
            <a:schemeClr val="accent1">
              <a:shade val="50000"/>
            </a:schemeClr>
          </a:lnRef>
          <a:fillRef idx="1">
            <a:schemeClr val="accent1"/>
          </a:fillRef>
          <a:effectRef idx="0">
            <a:schemeClr val="accent1"/>
          </a:effectRef>
          <a:fontRef idx="minor">
            <a:schemeClr val="lt1"/>
          </a:fontRef>
        </dgm:style>
      </dgm:prSet>
      <dgm:spPr>
        <a:xfrm>
          <a:off x="1285072" y="288411"/>
          <a:ext cx="1448678" cy="806793"/>
        </a:xfrm>
        <a:ln/>
      </dgm:spPr>
      <dgm:t>
        <a:bodyPr/>
        <a:lstStyle/>
        <a:p>
          <a:r>
            <a:rPr lang="en-US" dirty="0">
              <a:solidFill>
                <a:sysClr val="window" lastClr="FFFFFF"/>
              </a:solidFill>
              <a:latin typeface="Calibri"/>
              <a:ea typeface="+mn-ea"/>
              <a:cs typeface="+mn-cs"/>
            </a:rPr>
            <a:t>Fatigue Risk Management</a:t>
          </a:r>
        </a:p>
      </dgm:t>
    </dgm:pt>
    <dgm:pt modelId="{5B6A9AE9-5FDF-40C3-804A-413E8A81E646}" type="parTrans" cxnId="{5802B741-95A2-429F-BD21-DC0FD5D1DDC6}">
      <dgm:prSet>
        <dgm:style>
          <a:lnRef idx="2">
            <a:schemeClr val="accent1">
              <a:shade val="50000"/>
            </a:schemeClr>
          </a:lnRef>
          <a:fillRef idx="1">
            <a:schemeClr val="accent1"/>
          </a:fillRef>
          <a:effectRef idx="0">
            <a:schemeClr val="accent1"/>
          </a:effectRef>
          <a:fontRef idx="minor">
            <a:schemeClr val="lt1"/>
          </a:fontRef>
        </dgm:style>
      </dgm:prSet>
      <dgm:spPr>
        <a:xfrm rot="14334936">
          <a:off x="1388033" y="1586681"/>
          <a:ext cx="2569274" cy="410600"/>
        </a:xfrm>
        <a:ln/>
      </dgm:spPr>
      <dgm:t>
        <a:bodyPr/>
        <a:lstStyle/>
        <a:p>
          <a:endParaRPr lang="en-US"/>
        </a:p>
      </dgm:t>
    </dgm:pt>
    <dgm:pt modelId="{ABE01EC3-2978-4CBA-8741-5F7472121A5F}" type="sibTrans" cxnId="{5802B741-95A2-429F-BD21-DC0FD5D1DDC6}">
      <dgm:prSet/>
      <dgm:spPr/>
      <dgm:t>
        <a:bodyPr/>
        <a:lstStyle/>
        <a:p>
          <a:endParaRPr lang="en-US"/>
        </a:p>
      </dgm:t>
    </dgm:pt>
    <dgm:pt modelId="{FD842246-BF66-4AD2-936E-BDD6FECB006D}">
      <dgm:prSet>
        <dgm:style>
          <a:lnRef idx="2">
            <a:schemeClr val="accent1">
              <a:shade val="50000"/>
            </a:schemeClr>
          </a:lnRef>
          <a:fillRef idx="1">
            <a:schemeClr val="accent1"/>
          </a:fillRef>
          <a:effectRef idx="0">
            <a:schemeClr val="accent1"/>
          </a:effectRef>
          <a:fontRef idx="minor">
            <a:schemeClr val="lt1"/>
          </a:fontRef>
        </dgm:style>
      </dgm:prSet>
      <dgm:spPr>
        <a:xfrm>
          <a:off x="3105173" y="-26718"/>
          <a:ext cx="1490389" cy="806793"/>
        </a:xfrm>
        <a:ln/>
      </dgm:spPr>
      <dgm:t>
        <a:bodyPr/>
        <a:lstStyle/>
        <a:p>
          <a:r>
            <a:rPr lang="en-US" dirty="0">
              <a:solidFill>
                <a:sysClr val="window" lastClr="FFFFFF"/>
              </a:solidFill>
              <a:latin typeface="Calibri"/>
              <a:ea typeface="+mn-ea"/>
              <a:cs typeface="+mn-cs"/>
            </a:rPr>
            <a:t>Alarm Management</a:t>
          </a:r>
        </a:p>
      </dgm:t>
    </dgm:pt>
    <dgm:pt modelId="{D308D9F5-FDF4-4C08-847E-CCEBCFF582B5}" type="parTrans" cxnId="{2D831796-8480-434F-9C9B-C0FE4AD2A6E5}">
      <dgm:prSet>
        <dgm:style>
          <a:lnRef idx="2">
            <a:schemeClr val="accent1">
              <a:shade val="50000"/>
            </a:schemeClr>
          </a:lnRef>
          <a:fillRef idx="1">
            <a:schemeClr val="accent1"/>
          </a:fillRef>
          <a:effectRef idx="0">
            <a:schemeClr val="accent1"/>
          </a:effectRef>
          <a:fontRef idx="minor">
            <a:schemeClr val="lt1"/>
          </a:fontRef>
        </dgm:style>
      </dgm:prSet>
      <dgm:spPr>
        <a:xfrm rot="16200000">
          <a:off x="2625763" y="1395982"/>
          <a:ext cx="2449208" cy="410600"/>
        </a:xfrm>
        <a:ln/>
      </dgm:spPr>
      <dgm:t>
        <a:bodyPr/>
        <a:lstStyle/>
        <a:p>
          <a:endParaRPr lang="en-US"/>
        </a:p>
      </dgm:t>
    </dgm:pt>
    <dgm:pt modelId="{185E2917-5954-41E5-B541-B0AF38EC2955}" type="sibTrans" cxnId="{2D831796-8480-434F-9C9B-C0FE4AD2A6E5}">
      <dgm:prSet/>
      <dgm:spPr/>
      <dgm:t>
        <a:bodyPr/>
        <a:lstStyle/>
        <a:p>
          <a:endParaRPr lang="en-US"/>
        </a:p>
      </dgm:t>
    </dgm:pt>
    <dgm:pt modelId="{92136B6C-B477-49D2-9BDB-59CBD94DB9BD}">
      <dgm:prSet>
        <dgm:style>
          <a:lnRef idx="2">
            <a:schemeClr val="accent1">
              <a:shade val="50000"/>
            </a:schemeClr>
          </a:lnRef>
          <a:fillRef idx="1">
            <a:schemeClr val="accent1"/>
          </a:fillRef>
          <a:effectRef idx="0">
            <a:schemeClr val="accent1"/>
          </a:effectRef>
          <a:fontRef idx="minor">
            <a:schemeClr val="lt1"/>
          </a:fontRef>
        </dgm:style>
      </dgm:prSet>
      <dgm:spPr>
        <a:xfrm>
          <a:off x="4832130" y="209601"/>
          <a:ext cx="1591994" cy="806793"/>
        </a:xfrm>
        <a:ln/>
      </dgm:spPr>
      <dgm:t>
        <a:bodyPr/>
        <a:lstStyle/>
        <a:p>
          <a:r>
            <a:rPr lang="en-US" dirty="0">
              <a:solidFill>
                <a:sysClr val="window" lastClr="FFFFFF"/>
              </a:solidFill>
              <a:latin typeface="Calibri"/>
              <a:ea typeface="+mn-ea"/>
              <a:cs typeface="+mn-cs"/>
            </a:rPr>
            <a:t>Change Management</a:t>
          </a:r>
        </a:p>
      </dgm:t>
    </dgm:pt>
    <dgm:pt modelId="{ACE23942-8015-448E-A6D7-154112B01C99}" type="parTrans" cxnId="{7ECF87AC-F095-471D-8F94-E92128B30488}">
      <dgm:prSet>
        <dgm:style>
          <a:lnRef idx="2">
            <a:schemeClr val="accent1">
              <a:shade val="50000"/>
            </a:schemeClr>
          </a:lnRef>
          <a:fillRef idx="1">
            <a:schemeClr val="accent1"/>
          </a:fillRef>
          <a:effectRef idx="0">
            <a:schemeClr val="accent1"/>
          </a:effectRef>
          <a:fontRef idx="minor">
            <a:schemeClr val="lt1"/>
          </a:fontRef>
        </dgm:style>
      </dgm:prSet>
      <dgm:spPr>
        <a:xfrm rot="17974560">
          <a:off x="3619974" y="1476954"/>
          <a:ext cx="2609792" cy="410600"/>
        </a:xfrm>
        <a:ln/>
      </dgm:spPr>
      <dgm:t>
        <a:bodyPr/>
        <a:lstStyle/>
        <a:p>
          <a:endParaRPr lang="en-US"/>
        </a:p>
      </dgm:t>
    </dgm:pt>
    <dgm:pt modelId="{53A4DF51-0771-48FA-B004-FF02CE8B6465}" type="sibTrans" cxnId="{7ECF87AC-F095-471D-8F94-E92128B30488}">
      <dgm:prSet/>
      <dgm:spPr/>
      <dgm:t>
        <a:bodyPr/>
        <a:lstStyle/>
        <a:p>
          <a:endParaRPr lang="en-US"/>
        </a:p>
      </dgm:t>
    </dgm:pt>
    <dgm:pt modelId="{143B6920-2610-4870-BD7B-6E1341FF510E}">
      <dgm:prSet>
        <dgm:style>
          <a:lnRef idx="2">
            <a:schemeClr val="accent1">
              <a:shade val="50000"/>
            </a:schemeClr>
          </a:lnRef>
          <a:fillRef idx="1">
            <a:schemeClr val="accent1"/>
          </a:fillRef>
          <a:effectRef idx="0">
            <a:schemeClr val="accent1"/>
          </a:effectRef>
          <a:fontRef idx="minor">
            <a:schemeClr val="lt1"/>
          </a:fontRef>
        </dgm:style>
      </dgm:prSet>
      <dgm:spPr>
        <a:xfrm>
          <a:off x="5620367" y="1155469"/>
          <a:ext cx="1613223" cy="806793"/>
        </a:xfrm>
        <a:ln/>
      </dgm:spPr>
      <dgm:t>
        <a:bodyPr/>
        <a:lstStyle/>
        <a:p>
          <a:r>
            <a:rPr lang="en-US" dirty="0">
              <a:solidFill>
                <a:sysClr val="window" lastClr="FFFFFF"/>
              </a:solidFill>
              <a:latin typeface="Calibri"/>
              <a:ea typeface="+mn-ea"/>
              <a:cs typeface="+mn-cs"/>
            </a:rPr>
            <a:t>Lessons Learned Program</a:t>
          </a:r>
        </a:p>
      </dgm:t>
    </dgm:pt>
    <dgm:pt modelId="{FE3C93AA-B2E0-4E46-B4DD-D4654251649E}" type="parTrans" cxnId="{B157AF04-46D1-489C-A46E-7FEDE10A9964}">
      <dgm:prSet>
        <dgm:style>
          <a:lnRef idx="2">
            <a:schemeClr val="accent1">
              <a:shade val="50000"/>
            </a:schemeClr>
          </a:lnRef>
          <a:fillRef idx="1">
            <a:schemeClr val="accent1"/>
          </a:fillRef>
          <a:effectRef idx="0">
            <a:schemeClr val="accent1"/>
          </a:effectRef>
          <a:fontRef idx="minor">
            <a:schemeClr val="lt1"/>
          </a:fontRef>
        </dgm:style>
      </dgm:prSet>
      <dgm:spPr>
        <a:xfrm rot="19180848">
          <a:off x="4394759" y="2004031"/>
          <a:ext cx="2286358" cy="410600"/>
        </a:xfrm>
        <a:ln/>
      </dgm:spPr>
      <dgm:t>
        <a:bodyPr/>
        <a:lstStyle/>
        <a:p>
          <a:endParaRPr lang="en-US"/>
        </a:p>
      </dgm:t>
    </dgm:pt>
    <dgm:pt modelId="{3EFE76D2-9855-42E1-862C-2769C6934CD3}" type="sibTrans" cxnId="{B157AF04-46D1-489C-A46E-7FEDE10A9964}">
      <dgm:prSet/>
      <dgm:spPr/>
      <dgm:t>
        <a:bodyPr/>
        <a:lstStyle/>
        <a:p>
          <a:endParaRPr lang="en-US"/>
        </a:p>
      </dgm:t>
    </dgm:pt>
    <dgm:pt modelId="{8018D707-7E0A-4338-AEE5-186D87DC0ABF}">
      <dgm:prSet>
        <dgm:style>
          <a:lnRef idx="2">
            <a:schemeClr val="accent1">
              <a:shade val="50000"/>
            </a:schemeClr>
          </a:lnRef>
          <a:fillRef idx="1">
            <a:schemeClr val="accent1"/>
          </a:fillRef>
          <a:effectRef idx="0">
            <a:schemeClr val="accent1"/>
          </a:effectRef>
          <a:fontRef idx="minor">
            <a:schemeClr val="lt1"/>
          </a:fontRef>
        </dgm:style>
      </dgm:prSet>
      <dgm:spPr>
        <a:xfrm>
          <a:off x="6172120" y="2259006"/>
          <a:ext cx="1571512" cy="806793"/>
        </a:xfrm>
        <a:ln/>
      </dgm:spPr>
      <dgm:t>
        <a:bodyPr/>
        <a:lstStyle/>
        <a:p>
          <a:r>
            <a:rPr lang="en-US" dirty="0">
              <a:solidFill>
                <a:sysClr val="window" lastClr="FFFFFF"/>
              </a:solidFill>
              <a:latin typeface="Calibri"/>
              <a:ea typeface="+mn-ea"/>
              <a:cs typeface="+mn-cs"/>
            </a:rPr>
            <a:t>Controller Training Program</a:t>
          </a:r>
        </a:p>
      </dgm:t>
    </dgm:pt>
    <dgm:pt modelId="{3D3A1650-BCA1-43DC-9DB4-3521A944CF71}" type="parTrans" cxnId="{0E53AACB-57DB-4C69-B933-704CA47129DE}">
      <dgm:prSet>
        <dgm:style>
          <a:lnRef idx="2">
            <a:schemeClr val="accent1">
              <a:shade val="50000"/>
            </a:schemeClr>
          </a:lnRef>
          <a:fillRef idx="1">
            <a:schemeClr val="accent1"/>
          </a:fillRef>
          <a:effectRef idx="0">
            <a:schemeClr val="accent1"/>
          </a:effectRef>
          <a:fontRef idx="minor">
            <a:schemeClr val="lt1"/>
          </a:fontRef>
        </dgm:style>
      </dgm:prSet>
      <dgm:spPr>
        <a:xfrm rot="20447088">
          <a:off x="4974620" y="2792815"/>
          <a:ext cx="2040083" cy="410600"/>
        </a:xfrm>
        <a:ln/>
      </dgm:spPr>
      <dgm:t>
        <a:bodyPr/>
        <a:lstStyle/>
        <a:p>
          <a:endParaRPr lang="en-US"/>
        </a:p>
      </dgm:t>
    </dgm:pt>
    <dgm:pt modelId="{34744148-F451-4E0F-B656-9A2EC26714E3}" type="sibTrans" cxnId="{0E53AACB-57DB-4C69-B933-704CA47129DE}">
      <dgm:prSet/>
      <dgm:spPr/>
      <dgm:t>
        <a:bodyPr/>
        <a:lstStyle/>
        <a:p>
          <a:endParaRPr lang="en-US"/>
        </a:p>
      </dgm:t>
    </dgm:pt>
    <dgm:pt modelId="{F7641FB4-65AD-4B87-8B20-49ED93BE7DC6}">
      <dgm:prSet>
        <dgm:style>
          <a:lnRef idx="2">
            <a:schemeClr val="accent1">
              <a:shade val="50000"/>
            </a:schemeClr>
          </a:lnRef>
          <a:fillRef idx="1">
            <a:schemeClr val="accent1"/>
          </a:fillRef>
          <a:effectRef idx="0">
            <a:schemeClr val="accent1"/>
          </a:effectRef>
          <a:fontRef idx="minor">
            <a:schemeClr val="lt1"/>
          </a:fontRef>
        </dgm:style>
      </dgm:prSet>
      <dgm:spPr>
        <a:xfrm>
          <a:off x="6408585" y="3362521"/>
          <a:ext cx="1603249" cy="806793"/>
        </a:xfrm>
        <a:ln/>
      </dgm:spPr>
      <dgm:t>
        <a:bodyPr/>
        <a:lstStyle/>
        <a:p>
          <a:r>
            <a:rPr lang="en-US" dirty="0">
              <a:solidFill>
                <a:sysClr val="window" lastClr="FFFFFF"/>
              </a:solidFill>
              <a:latin typeface="Calibri"/>
              <a:ea typeface="+mn-ea"/>
              <a:cs typeface="+mn-cs"/>
            </a:rPr>
            <a:t>Compliance and Deviations</a:t>
          </a:r>
        </a:p>
      </dgm:t>
    </dgm:pt>
    <dgm:pt modelId="{2E9069D6-479B-459C-B3F0-6D3001EF2B93}" type="parTrans" cxnId="{4E4B2D3E-E3ED-48D1-B8B5-D212CA0B9B0D}">
      <dgm:prSet>
        <dgm:style>
          <a:lnRef idx="2">
            <a:schemeClr val="accent1">
              <a:shade val="50000"/>
            </a:schemeClr>
          </a:lnRef>
          <a:fillRef idx="1">
            <a:schemeClr val="accent1"/>
          </a:fillRef>
          <a:effectRef idx="0">
            <a:schemeClr val="accent1"/>
          </a:effectRef>
          <a:fontRef idx="minor">
            <a:schemeClr val="lt1"/>
          </a:fontRef>
        </dgm:style>
      </dgm:prSet>
      <dgm:spPr>
        <a:xfrm rot="20916">
          <a:off x="5186199" y="3554460"/>
          <a:ext cx="2024030" cy="410600"/>
        </a:xfrm>
        <a:ln/>
      </dgm:spPr>
      <dgm:t>
        <a:bodyPr/>
        <a:lstStyle/>
        <a:p>
          <a:endParaRPr lang="en-US"/>
        </a:p>
      </dgm:t>
    </dgm:pt>
    <dgm:pt modelId="{4AFB9DCE-07A6-4214-9138-A6C630F430BB}" type="sibTrans" cxnId="{4E4B2D3E-E3ED-48D1-B8B5-D212CA0B9B0D}">
      <dgm:prSet/>
      <dgm:spPr/>
      <dgm:t>
        <a:bodyPr/>
        <a:lstStyle/>
        <a:p>
          <a:endParaRPr lang="en-US"/>
        </a:p>
      </dgm:t>
    </dgm:pt>
    <dgm:pt modelId="{4145F25C-2FE1-47B2-A4CE-C497BD7B91D0}">
      <dgm:prSet>
        <dgm:style>
          <a:lnRef idx="2">
            <a:schemeClr val="accent1">
              <a:shade val="50000"/>
            </a:schemeClr>
          </a:lnRef>
          <a:fillRef idx="1">
            <a:schemeClr val="accent1"/>
          </a:fillRef>
          <a:effectRef idx="0">
            <a:schemeClr val="accent1"/>
          </a:effectRef>
          <a:fontRef idx="minor">
            <a:schemeClr val="lt1"/>
          </a:fontRef>
        </dgm:style>
      </dgm:prSet>
      <dgm:spPr>
        <a:xfrm>
          <a:off x="-248391" y="3342079"/>
          <a:ext cx="1459922" cy="806793"/>
        </a:xfrm>
        <a:ln/>
      </dgm:spPr>
      <dgm:t>
        <a:bodyPr/>
        <a:lstStyle/>
        <a:p>
          <a:r>
            <a:rPr lang="en-US" dirty="0">
              <a:solidFill>
                <a:sysClr val="window" lastClr="FFFFFF"/>
              </a:solidFill>
              <a:latin typeface="Calibri"/>
              <a:ea typeface="+mn-ea"/>
              <a:cs typeface="+mn-cs"/>
            </a:rPr>
            <a:t>Introduction</a:t>
          </a:r>
        </a:p>
      </dgm:t>
    </dgm:pt>
    <dgm:pt modelId="{05295B2F-9584-4133-BE78-23AB6D8A3BE4}" type="parTrans" cxnId="{6DBC3A00-A549-48E8-95C8-1C1956078A77}">
      <dgm:prSet>
        <dgm:style>
          <a:lnRef idx="2">
            <a:schemeClr val="accent1">
              <a:shade val="50000"/>
            </a:schemeClr>
          </a:lnRef>
          <a:fillRef idx="1">
            <a:schemeClr val="accent1"/>
          </a:fillRef>
          <a:effectRef idx="0">
            <a:schemeClr val="accent1"/>
          </a:effectRef>
          <a:fontRef idx="minor">
            <a:schemeClr val="lt1"/>
          </a:fontRef>
        </dgm:style>
      </dgm:prSet>
      <dgm:spPr>
        <a:xfrm rot="10800000">
          <a:off x="481570" y="3540175"/>
          <a:ext cx="2032403" cy="410600"/>
        </a:xfrm>
        <a:ln/>
      </dgm:spPr>
      <dgm:t>
        <a:bodyPr/>
        <a:lstStyle/>
        <a:p>
          <a:endParaRPr lang="en-US"/>
        </a:p>
      </dgm:t>
    </dgm:pt>
    <dgm:pt modelId="{CABDD24B-6DD1-4D88-94BB-1AF34AD78507}" type="sibTrans" cxnId="{6DBC3A00-A549-48E8-95C8-1C1956078A77}">
      <dgm:prSet/>
      <dgm:spPr/>
      <dgm:t>
        <a:bodyPr/>
        <a:lstStyle/>
        <a:p>
          <a:endParaRPr lang="en-US"/>
        </a:p>
      </dgm:t>
    </dgm:pt>
    <dgm:pt modelId="{2272F65F-7D69-244D-B672-E4121DBAACC6}">
      <dgm:prSet/>
      <dgm:spPr/>
      <dgm:t>
        <a:bodyPr/>
        <a:lstStyle/>
        <a:p>
          <a:endParaRPr lang="en-US"/>
        </a:p>
      </dgm:t>
    </dgm:pt>
    <dgm:pt modelId="{8FAD08CA-4690-6A42-BBD5-F92B406288A3}" type="parTrans" cxnId="{72A7DDE1-96E8-714A-B272-E40A0B867B8F}">
      <dgm:prSet/>
      <dgm:spPr/>
      <dgm:t>
        <a:bodyPr/>
        <a:lstStyle/>
        <a:p>
          <a:endParaRPr lang="en-US"/>
        </a:p>
      </dgm:t>
    </dgm:pt>
    <dgm:pt modelId="{C74E8B87-78C3-F246-B2A2-11B905943887}" type="sibTrans" cxnId="{72A7DDE1-96E8-714A-B272-E40A0B867B8F}">
      <dgm:prSet/>
      <dgm:spPr/>
      <dgm:t>
        <a:bodyPr/>
        <a:lstStyle/>
        <a:p>
          <a:endParaRPr lang="en-US"/>
        </a:p>
      </dgm:t>
    </dgm:pt>
    <dgm:pt modelId="{20FCDDDB-9214-AB42-B646-F8334C21AE50}">
      <dgm:prSet>
        <dgm:style>
          <a:lnRef idx="2">
            <a:schemeClr val="accent1">
              <a:shade val="50000"/>
            </a:schemeClr>
          </a:lnRef>
          <a:fillRef idx="1">
            <a:schemeClr val="accent1"/>
          </a:fillRef>
          <a:effectRef idx="0">
            <a:schemeClr val="accent1"/>
          </a:effectRef>
          <a:fontRef idx="minor">
            <a:schemeClr val="lt1"/>
          </a:fontRef>
        </dgm:style>
      </dgm:prSet>
      <dgm:spPr>
        <a:xfrm>
          <a:off x="6408585" y="3362521"/>
          <a:ext cx="1603249" cy="806793"/>
        </a:xfrm>
        <a:ln/>
      </dgm:spPr>
      <dgm:t>
        <a:bodyPr/>
        <a:lstStyle/>
        <a:p>
          <a:r>
            <a:rPr lang="en-US">
              <a:solidFill>
                <a:sysClr val="window" lastClr="FFFFFF"/>
              </a:solidFill>
              <a:latin typeface="Calibri"/>
              <a:ea typeface="+mn-ea"/>
              <a:cs typeface="+mn-cs"/>
            </a:rPr>
            <a:t>Workload </a:t>
          </a:r>
          <a:r>
            <a:rPr lang="en-US" dirty="0">
              <a:solidFill>
                <a:sysClr val="window" lastClr="FFFFFF"/>
              </a:solidFill>
              <a:latin typeface="Calibri"/>
              <a:ea typeface="+mn-ea"/>
              <a:cs typeface="+mn-cs"/>
            </a:rPr>
            <a:t>Analysis Method</a:t>
          </a:r>
        </a:p>
      </dgm:t>
    </dgm:pt>
    <dgm:pt modelId="{F7825872-E101-E14B-B482-CA7A9A547021}" type="parTrans" cxnId="{F1184CCA-13FB-D54F-9850-B3357EF0328B}">
      <dgm:prSet>
        <dgm:style>
          <a:lnRef idx="2">
            <a:schemeClr val="accent1">
              <a:shade val="50000"/>
            </a:schemeClr>
          </a:lnRef>
          <a:fillRef idx="1">
            <a:schemeClr val="accent1"/>
          </a:fillRef>
          <a:effectRef idx="0">
            <a:schemeClr val="accent1"/>
          </a:effectRef>
          <a:fontRef idx="minor">
            <a:schemeClr val="lt1"/>
          </a:fontRef>
        </dgm:style>
      </dgm:prSet>
      <dgm:spPr/>
      <dgm:t>
        <a:bodyPr/>
        <a:lstStyle/>
        <a:p>
          <a:endParaRPr lang="en-US"/>
        </a:p>
      </dgm:t>
    </dgm:pt>
    <dgm:pt modelId="{F8F931A6-3D8D-2449-893B-8C04A34A7628}" type="sibTrans" cxnId="{F1184CCA-13FB-D54F-9850-B3357EF0328B}">
      <dgm:prSet/>
      <dgm:spPr/>
      <dgm:t>
        <a:bodyPr/>
        <a:lstStyle/>
        <a:p>
          <a:endParaRPr lang="en-US"/>
        </a:p>
      </dgm:t>
    </dgm:pt>
    <dgm:pt modelId="{2505534C-CB0B-3541-A03D-360AB2A797F1}">
      <dgm:prSet custScaleX="158975" custRadScaleRad="97360" custRadScaleInc="22182"/>
      <dgm:spPr>
        <a:prstGeom prst="roundRect">
          <a:avLst>
            <a:gd name="adj" fmla="val 10000"/>
          </a:avLst>
        </a:prstGeom>
      </dgm:spPr>
      <dgm:t>
        <a:bodyPr/>
        <a:lstStyle/>
        <a:p>
          <a:endParaRPr lang="en-US"/>
        </a:p>
      </dgm:t>
    </dgm:pt>
    <dgm:pt modelId="{5E0D5DBE-5EA8-E745-9B29-9DE5796337A7}" type="parTrans" cxnId="{41432A0A-90E8-594E-B27C-4AF774A3DEFE}">
      <dgm:prSet/>
      <dgm:spPr>
        <a:xfrm rot="20916">
          <a:off x="5186199" y="3554460"/>
          <a:ext cx="2024030" cy="410600"/>
        </a:xfrm>
        <a:prstGeom prst="leftArrow">
          <a:avLst>
            <a:gd name="adj1" fmla="val 60000"/>
            <a:gd name="adj2" fmla="val 50000"/>
          </a:avLst>
        </a:prstGeom>
        <a:solidFill>
          <a:srgbClr val="C00000">
            <a:tint val="60000"/>
            <a:hueOff val="0"/>
            <a:satOff val="0"/>
            <a:lumOff val="0"/>
            <a:alphaOff val="0"/>
          </a:srgbClr>
        </a:solidFill>
        <a:ln>
          <a:noFill/>
        </a:ln>
        <a:effectLst/>
      </dgm:spPr>
      <dgm:t>
        <a:bodyPr/>
        <a:lstStyle/>
        <a:p>
          <a:endParaRPr lang="en-US"/>
        </a:p>
      </dgm:t>
    </dgm:pt>
    <dgm:pt modelId="{297E6277-5DBE-FC43-BAF0-A70F0CA417AC}" type="sibTrans" cxnId="{41432A0A-90E8-594E-B27C-4AF774A3DEFE}">
      <dgm:prSet/>
      <dgm:spPr/>
      <dgm:t>
        <a:bodyPr/>
        <a:lstStyle/>
        <a:p>
          <a:endParaRPr lang="en-US"/>
        </a:p>
      </dgm:t>
    </dgm:pt>
    <dgm:pt modelId="{F56628CB-006F-4D25-A536-0C1E833ABA0B}" type="pres">
      <dgm:prSet presAssocID="{4E874F62-37B7-4B43-8E2E-28FD84AEC0A6}" presName="cycle" presStyleCnt="0">
        <dgm:presLayoutVars>
          <dgm:chMax val="1"/>
          <dgm:dir/>
          <dgm:animLvl val="ctr"/>
          <dgm:resizeHandles val="exact"/>
        </dgm:presLayoutVars>
      </dgm:prSet>
      <dgm:spPr/>
    </dgm:pt>
    <dgm:pt modelId="{8044E4A2-2713-4541-A127-E2E2E69028E2}" type="pres">
      <dgm:prSet presAssocID="{9FBFE694-96A5-446D-9CA6-10D3720E400C}" presName="centerShape" presStyleLbl="node0" presStyleIdx="0" presStyleCnt="1" custScaleX="251935" custScaleY="107870"/>
      <dgm:spPr>
        <a:prstGeom prst="ellipse">
          <a:avLst/>
        </a:prstGeom>
      </dgm:spPr>
    </dgm:pt>
    <dgm:pt modelId="{458E77A6-0E8D-4053-B0B2-24E5C063CE95}" type="pres">
      <dgm:prSet presAssocID="{05295B2F-9584-4133-BE78-23AB6D8A3BE4}" presName="parTrans" presStyleLbl="bgSibTrans2D1" presStyleIdx="0" presStyleCnt="10"/>
      <dgm:spPr>
        <a:prstGeom prst="leftArrow">
          <a:avLst>
            <a:gd name="adj1" fmla="val 60000"/>
            <a:gd name="adj2" fmla="val 50000"/>
          </a:avLst>
        </a:prstGeom>
      </dgm:spPr>
    </dgm:pt>
    <dgm:pt modelId="{7AA664FC-0237-4948-9C76-A0473450DD63}" type="pres">
      <dgm:prSet presAssocID="{4145F25C-2FE1-47B2-A4CE-C497BD7B91D0}" presName="node" presStyleLbl="node1" presStyleIdx="0" presStyleCnt="10" custScaleX="144763">
        <dgm:presLayoutVars>
          <dgm:bulletEnabled val="1"/>
        </dgm:presLayoutVars>
      </dgm:prSet>
      <dgm:spPr>
        <a:prstGeom prst="roundRect">
          <a:avLst>
            <a:gd name="adj" fmla="val 10000"/>
          </a:avLst>
        </a:prstGeom>
      </dgm:spPr>
    </dgm:pt>
    <dgm:pt modelId="{7D9FD672-4C3F-470C-B6E1-3BF7511A9278}" type="pres">
      <dgm:prSet presAssocID="{4D3E20EB-7157-4DF4-8D4D-4DF45606B031}" presName="parTrans" presStyleLbl="bgSibTrans2D1" presStyleIdx="1" presStyleCnt="10"/>
      <dgm:spPr>
        <a:prstGeom prst="leftArrow">
          <a:avLst>
            <a:gd name="adj1" fmla="val 60000"/>
            <a:gd name="adj2" fmla="val 50000"/>
          </a:avLst>
        </a:prstGeom>
      </dgm:spPr>
    </dgm:pt>
    <dgm:pt modelId="{867F37FF-8924-4602-83FD-3FF1DA25BD5F}" type="pres">
      <dgm:prSet presAssocID="{2C3C7BAE-6CE8-4711-ACD6-809EEDDF2796}" presName="node" presStyleLbl="node1" presStyleIdx="1" presStyleCnt="10" custScaleX="148722" custRadScaleRad="96818" custRadScaleInc="-15528">
        <dgm:presLayoutVars>
          <dgm:bulletEnabled val="1"/>
        </dgm:presLayoutVars>
      </dgm:prSet>
      <dgm:spPr>
        <a:prstGeom prst="roundRect">
          <a:avLst>
            <a:gd name="adj" fmla="val 10000"/>
          </a:avLst>
        </a:prstGeom>
      </dgm:spPr>
    </dgm:pt>
    <dgm:pt modelId="{7BE02A89-8721-4710-9E23-F252198E429C}" type="pres">
      <dgm:prSet presAssocID="{CC5EAFC3-CAFB-4D92-9BD8-71AF14230D70}" presName="parTrans" presStyleLbl="bgSibTrans2D1" presStyleIdx="2" presStyleCnt="10"/>
      <dgm:spPr>
        <a:prstGeom prst="leftArrow">
          <a:avLst>
            <a:gd name="adj1" fmla="val 60000"/>
            <a:gd name="adj2" fmla="val 50000"/>
          </a:avLst>
        </a:prstGeom>
      </dgm:spPr>
    </dgm:pt>
    <dgm:pt modelId="{918DFDBA-E631-4F29-B30C-17B97AFBA409}" type="pres">
      <dgm:prSet presAssocID="{2F47872F-EEA3-47A0-B5EF-A30C65D1FC02}" presName="node" presStyleLbl="node1" presStyleIdx="2" presStyleCnt="10" custScaleX="143977" custRadScaleRad="99990" custRadScaleInc="-31318">
        <dgm:presLayoutVars>
          <dgm:bulletEnabled val="1"/>
        </dgm:presLayoutVars>
      </dgm:prSet>
      <dgm:spPr>
        <a:prstGeom prst="roundRect">
          <a:avLst>
            <a:gd name="adj" fmla="val 10000"/>
          </a:avLst>
        </a:prstGeom>
      </dgm:spPr>
    </dgm:pt>
    <dgm:pt modelId="{B21869B1-9DEB-48FB-8D05-27FB69AE49FA}" type="pres">
      <dgm:prSet presAssocID="{5B6A9AE9-5FDF-40C3-804A-413E8A81E646}" presName="parTrans" presStyleLbl="bgSibTrans2D1" presStyleIdx="3" presStyleCnt="10"/>
      <dgm:spPr>
        <a:prstGeom prst="leftArrow">
          <a:avLst>
            <a:gd name="adj1" fmla="val 60000"/>
            <a:gd name="adj2" fmla="val 50000"/>
          </a:avLst>
        </a:prstGeom>
      </dgm:spPr>
    </dgm:pt>
    <dgm:pt modelId="{DB6D05F4-6303-4F38-B4A1-5B58C899B2E9}" type="pres">
      <dgm:prSet presAssocID="{07E049E1-611B-479C-BED2-682891B38432}" presName="node" presStyleLbl="node1" presStyleIdx="3" presStyleCnt="10" custScaleX="143648" custRadScaleRad="106397" custRadScaleInc="-45052">
        <dgm:presLayoutVars>
          <dgm:bulletEnabled val="1"/>
        </dgm:presLayoutVars>
      </dgm:prSet>
      <dgm:spPr>
        <a:prstGeom prst="roundRect">
          <a:avLst>
            <a:gd name="adj" fmla="val 10000"/>
          </a:avLst>
        </a:prstGeom>
      </dgm:spPr>
    </dgm:pt>
    <dgm:pt modelId="{658B614F-39F8-423F-B7C9-22727BB3C412}" type="pres">
      <dgm:prSet presAssocID="{D308D9F5-FDF4-4C08-847E-CCEBCFF582B5}" presName="parTrans" presStyleLbl="bgSibTrans2D1" presStyleIdx="4" presStyleCnt="10"/>
      <dgm:spPr>
        <a:prstGeom prst="leftArrow">
          <a:avLst>
            <a:gd name="adj1" fmla="val 60000"/>
            <a:gd name="adj2" fmla="val 50000"/>
          </a:avLst>
        </a:prstGeom>
      </dgm:spPr>
    </dgm:pt>
    <dgm:pt modelId="{B5D5EBE1-DA48-4D90-BF2B-B4154729EC44}" type="pres">
      <dgm:prSet presAssocID="{FD842246-BF66-4AD2-936E-BDD6FECB006D}" presName="node" presStyleLbl="node1" presStyleIdx="4" presStyleCnt="10" custScaleX="147784" custRadScaleRad="103890" custRadScaleInc="-19011">
        <dgm:presLayoutVars>
          <dgm:bulletEnabled val="1"/>
        </dgm:presLayoutVars>
      </dgm:prSet>
      <dgm:spPr>
        <a:prstGeom prst="roundRect">
          <a:avLst>
            <a:gd name="adj" fmla="val 10000"/>
          </a:avLst>
        </a:prstGeom>
      </dgm:spPr>
    </dgm:pt>
    <dgm:pt modelId="{3422264C-AAF5-44A8-9828-E931CE961CC3}" type="pres">
      <dgm:prSet presAssocID="{ACE23942-8015-448E-A6D7-154112B01C99}" presName="parTrans" presStyleLbl="bgSibTrans2D1" presStyleIdx="5" presStyleCnt="10" custLinFactNeighborX="-2268" custLinFactNeighborY="-15980"/>
      <dgm:spPr>
        <a:prstGeom prst="leftArrow">
          <a:avLst>
            <a:gd name="adj1" fmla="val 60000"/>
            <a:gd name="adj2" fmla="val 50000"/>
          </a:avLst>
        </a:prstGeom>
      </dgm:spPr>
    </dgm:pt>
    <dgm:pt modelId="{910AD86A-5053-4FAA-B934-CAD76A150FE6}" type="pres">
      <dgm:prSet presAssocID="{92136B6C-B477-49D2-9BDB-59CBD94DB9BD}" presName="node" presStyleLbl="node1" presStyleIdx="5" presStyleCnt="10" custScaleX="157859" custRadScaleRad="103787" custRadScaleInc="22855">
        <dgm:presLayoutVars>
          <dgm:bulletEnabled val="1"/>
        </dgm:presLayoutVars>
      </dgm:prSet>
      <dgm:spPr>
        <a:prstGeom prst="roundRect">
          <a:avLst>
            <a:gd name="adj" fmla="val 10000"/>
          </a:avLst>
        </a:prstGeom>
      </dgm:spPr>
    </dgm:pt>
    <dgm:pt modelId="{6AA42575-5413-4B65-BD64-DC8A10AF1F8A}" type="pres">
      <dgm:prSet presAssocID="{FE3C93AA-B2E0-4E46-B4DD-D4654251649E}" presName="parTrans" presStyleLbl="bgSibTrans2D1" presStyleIdx="6" presStyleCnt="10" custLinFactNeighborX="-5127" custLinFactNeighborY="-24793"/>
      <dgm:spPr>
        <a:prstGeom prst="leftArrow">
          <a:avLst>
            <a:gd name="adj1" fmla="val 60000"/>
            <a:gd name="adj2" fmla="val 50000"/>
          </a:avLst>
        </a:prstGeom>
      </dgm:spPr>
    </dgm:pt>
    <dgm:pt modelId="{064F1D21-5FD0-47EE-B863-0502AA372674}" type="pres">
      <dgm:prSet presAssocID="{143B6920-2610-4870-BD7B-6E1341FF510E}" presName="node" presStyleLbl="node1" presStyleIdx="6" presStyleCnt="10" custScaleX="159964" custRadScaleRad="110740" custRadScaleInc="56790">
        <dgm:presLayoutVars>
          <dgm:bulletEnabled val="1"/>
        </dgm:presLayoutVars>
      </dgm:prSet>
      <dgm:spPr>
        <a:prstGeom prst="roundRect">
          <a:avLst>
            <a:gd name="adj" fmla="val 10000"/>
          </a:avLst>
        </a:prstGeom>
      </dgm:spPr>
    </dgm:pt>
    <dgm:pt modelId="{CD30D0D6-4AD5-4603-ABA1-1A0283FF2805}" type="pres">
      <dgm:prSet presAssocID="{3D3A1650-BCA1-43DC-9DB4-3521A944CF71}" presName="parTrans" presStyleLbl="bgSibTrans2D1" presStyleIdx="7" presStyleCnt="10"/>
      <dgm:spPr>
        <a:prstGeom prst="leftArrow">
          <a:avLst>
            <a:gd name="adj1" fmla="val 60000"/>
            <a:gd name="adj2" fmla="val 50000"/>
          </a:avLst>
        </a:prstGeom>
      </dgm:spPr>
    </dgm:pt>
    <dgm:pt modelId="{73D1B730-C9A5-483A-B530-88D0FFEA6C93}" type="pres">
      <dgm:prSet presAssocID="{8018D707-7E0A-4338-AEE5-186D87DC0ABF}" presName="node" presStyleLbl="node1" presStyleIdx="7" presStyleCnt="10" custScaleX="155828" custRadScaleRad="101043" custRadScaleInc="37057">
        <dgm:presLayoutVars>
          <dgm:bulletEnabled val="1"/>
        </dgm:presLayoutVars>
      </dgm:prSet>
      <dgm:spPr>
        <a:prstGeom prst="roundRect">
          <a:avLst>
            <a:gd name="adj" fmla="val 10000"/>
          </a:avLst>
        </a:prstGeom>
      </dgm:spPr>
    </dgm:pt>
    <dgm:pt modelId="{654FBBBC-3F42-47C9-B4DC-5395E34168E9}" type="pres">
      <dgm:prSet presAssocID="{2E9069D6-479B-459C-B3F0-6D3001EF2B93}" presName="parTrans" presStyleLbl="bgSibTrans2D1" presStyleIdx="8" presStyleCnt="10"/>
      <dgm:spPr>
        <a:prstGeom prst="leftArrow">
          <a:avLst>
            <a:gd name="adj1" fmla="val 60000"/>
            <a:gd name="adj2" fmla="val 50000"/>
          </a:avLst>
        </a:prstGeom>
      </dgm:spPr>
    </dgm:pt>
    <dgm:pt modelId="{FB44F802-D632-41DE-9672-E068790CEA2E}" type="pres">
      <dgm:prSet presAssocID="{F7641FB4-65AD-4B87-8B20-49ED93BE7DC6}" presName="node" presStyleLbl="node1" presStyleIdx="8" presStyleCnt="10" custScaleX="158975" custRadScaleRad="97360" custRadScaleInc="22182">
        <dgm:presLayoutVars>
          <dgm:bulletEnabled val="1"/>
        </dgm:presLayoutVars>
      </dgm:prSet>
      <dgm:spPr>
        <a:prstGeom prst="roundRect">
          <a:avLst>
            <a:gd name="adj" fmla="val 10000"/>
          </a:avLst>
        </a:prstGeom>
      </dgm:spPr>
    </dgm:pt>
    <dgm:pt modelId="{B8ABA416-6655-A548-B000-3490E297396C}" type="pres">
      <dgm:prSet presAssocID="{F7825872-E101-E14B-B482-CA7A9A547021}" presName="parTrans" presStyleLbl="bgSibTrans2D1" presStyleIdx="9" presStyleCnt="10"/>
      <dgm:spPr/>
    </dgm:pt>
    <dgm:pt modelId="{A73983DD-18C7-7A40-8E20-DE4FF8233D03}" type="pres">
      <dgm:prSet presAssocID="{20FCDDDB-9214-AB42-B646-F8334C21AE50}" presName="node" presStyleLbl="node1" presStyleIdx="9" presStyleCnt="10" custScaleX="189807">
        <dgm:presLayoutVars>
          <dgm:bulletEnabled val="1"/>
        </dgm:presLayoutVars>
      </dgm:prSet>
      <dgm:spPr/>
    </dgm:pt>
  </dgm:ptLst>
  <dgm:cxnLst>
    <dgm:cxn modelId="{6DBC3A00-A549-48E8-95C8-1C1956078A77}" srcId="{9FBFE694-96A5-446D-9CA6-10D3720E400C}" destId="{4145F25C-2FE1-47B2-A4CE-C497BD7B91D0}" srcOrd="0" destOrd="0" parTransId="{05295B2F-9584-4133-BE78-23AB6D8A3BE4}" sibTransId="{CABDD24B-6DD1-4D88-94BB-1AF34AD78507}"/>
    <dgm:cxn modelId="{B157AF04-46D1-489C-A46E-7FEDE10A9964}" srcId="{9FBFE694-96A5-446D-9CA6-10D3720E400C}" destId="{143B6920-2610-4870-BD7B-6E1341FF510E}" srcOrd="6" destOrd="0" parTransId="{FE3C93AA-B2E0-4E46-B4DD-D4654251649E}" sibTransId="{3EFE76D2-9855-42E1-862C-2769C6934CD3}"/>
    <dgm:cxn modelId="{7861F708-BBC1-E24D-A2A6-7D694A42CE7F}" type="presOf" srcId="{CC5EAFC3-CAFB-4D92-9BD8-71AF14230D70}" destId="{7BE02A89-8721-4710-9E23-F252198E429C}" srcOrd="0" destOrd="0" presId="urn:microsoft.com/office/officeart/2005/8/layout/radial4"/>
    <dgm:cxn modelId="{41432A0A-90E8-594E-B27C-4AF774A3DEFE}" srcId="{4E874F62-37B7-4B43-8E2E-28FD84AEC0A6}" destId="{2505534C-CB0B-3541-A03D-360AB2A797F1}" srcOrd="2" destOrd="0" parTransId="{5E0D5DBE-5EA8-E745-9B29-9DE5796337A7}" sibTransId="{297E6277-5DBE-FC43-BAF0-A70F0CA417AC}"/>
    <dgm:cxn modelId="{FCFFEA14-3B4B-2E45-A270-8892B50E8DDE}" type="presOf" srcId="{F7641FB4-65AD-4B87-8B20-49ED93BE7DC6}" destId="{FB44F802-D632-41DE-9672-E068790CEA2E}" srcOrd="0" destOrd="0" presId="urn:microsoft.com/office/officeart/2005/8/layout/radial4"/>
    <dgm:cxn modelId="{39D4D01D-67B9-8D4E-BB7B-053E18AAE8BA}" type="presOf" srcId="{9FBFE694-96A5-446D-9CA6-10D3720E400C}" destId="{8044E4A2-2713-4541-A127-E2E2E69028E2}" srcOrd="0" destOrd="0" presId="urn:microsoft.com/office/officeart/2005/8/layout/radial4"/>
    <dgm:cxn modelId="{07F23B2D-0891-1C43-913A-18411710FA08}" type="presOf" srcId="{4145F25C-2FE1-47B2-A4CE-C497BD7B91D0}" destId="{7AA664FC-0237-4948-9C76-A0473450DD63}" srcOrd="0" destOrd="0" presId="urn:microsoft.com/office/officeart/2005/8/layout/radial4"/>
    <dgm:cxn modelId="{4E4B2D3E-E3ED-48D1-B8B5-D212CA0B9B0D}" srcId="{9FBFE694-96A5-446D-9CA6-10D3720E400C}" destId="{F7641FB4-65AD-4B87-8B20-49ED93BE7DC6}" srcOrd="8" destOrd="0" parTransId="{2E9069D6-479B-459C-B3F0-6D3001EF2B93}" sibTransId="{4AFB9DCE-07A6-4214-9138-A6C630F430BB}"/>
    <dgm:cxn modelId="{55C64B60-59D2-E04E-9FF4-5D06D0DE46F6}" type="presOf" srcId="{ACE23942-8015-448E-A6D7-154112B01C99}" destId="{3422264C-AAF5-44A8-9828-E931CE961CC3}" srcOrd="0" destOrd="0" presId="urn:microsoft.com/office/officeart/2005/8/layout/radial4"/>
    <dgm:cxn modelId="{5802B741-95A2-429F-BD21-DC0FD5D1DDC6}" srcId="{9FBFE694-96A5-446D-9CA6-10D3720E400C}" destId="{07E049E1-611B-479C-BED2-682891B38432}" srcOrd="3" destOrd="0" parTransId="{5B6A9AE9-5FDF-40C3-804A-413E8A81E646}" sibTransId="{ABE01EC3-2978-4CBA-8741-5F7472121A5F}"/>
    <dgm:cxn modelId="{D7671442-B788-2449-B0DD-84B287C235F9}" type="presOf" srcId="{2F47872F-EEA3-47A0-B5EF-A30C65D1FC02}" destId="{918DFDBA-E631-4F29-B30C-17B97AFBA409}" srcOrd="0" destOrd="0" presId="urn:microsoft.com/office/officeart/2005/8/layout/radial4"/>
    <dgm:cxn modelId="{D2DBE565-29F0-C843-BD92-48CC7A41D5B5}" type="presOf" srcId="{8018D707-7E0A-4338-AEE5-186D87DC0ABF}" destId="{73D1B730-C9A5-483A-B530-88D0FFEA6C93}" srcOrd="0" destOrd="0" presId="urn:microsoft.com/office/officeart/2005/8/layout/radial4"/>
    <dgm:cxn modelId="{3BBAF766-6B36-4D03-88D0-0C707B5EEB1B}" srcId="{4E874F62-37B7-4B43-8E2E-28FD84AEC0A6}" destId="{9FBFE694-96A5-446D-9CA6-10D3720E400C}" srcOrd="0" destOrd="0" parTransId="{DF7179EF-51B7-479E-8086-5570CA60E3A8}" sibTransId="{70C8B10B-AE39-4DF0-A4E6-79A4D02AED18}"/>
    <dgm:cxn modelId="{230C6768-9FB0-1A45-B6C2-0A4F063CA3DA}" type="presOf" srcId="{2E9069D6-479B-459C-B3F0-6D3001EF2B93}" destId="{654FBBBC-3F42-47C9-B4DC-5395E34168E9}" srcOrd="0" destOrd="0" presId="urn:microsoft.com/office/officeart/2005/8/layout/radial4"/>
    <dgm:cxn modelId="{04C6534B-45C5-2D42-933F-5407498E3E82}" type="presOf" srcId="{05295B2F-9584-4133-BE78-23AB6D8A3BE4}" destId="{458E77A6-0E8D-4053-B0B2-24E5C063CE95}" srcOrd="0" destOrd="0" presId="urn:microsoft.com/office/officeart/2005/8/layout/radial4"/>
    <dgm:cxn modelId="{72C1946F-9457-534C-8785-88A9453D2CD3}" type="presOf" srcId="{FE3C93AA-B2E0-4E46-B4DD-D4654251649E}" destId="{6AA42575-5413-4B65-BD64-DC8A10AF1F8A}" srcOrd="0" destOrd="0" presId="urn:microsoft.com/office/officeart/2005/8/layout/radial4"/>
    <dgm:cxn modelId="{1F7BA55A-0FC3-2E40-B191-06D955828178}" type="presOf" srcId="{D308D9F5-FDF4-4C08-847E-CCEBCFF582B5}" destId="{658B614F-39F8-423F-B7C9-22727BB3C412}" srcOrd="0" destOrd="0" presId="urn:microsoft.com/office/officeart/2005/8/layout/radial4"/>
    <dgm:cxn modelId="{C87F7288-EE21-4420-91EB-9BB16BD390E2}" srcId="{9FBFE694-96A5-446D-9CA6-10D3720E400C}" destId="{2F47872F-EEA3-47A0-B5EF-A30C65D1FC02}" srcOrd="2" destOrd="0" parTransId="{CC5EAFC3-CAFB-4D92-9BD8-71AF14230D70}" sibTransId="{47AA3C9F-6B26-4317-AF0D-B0B1786E5A75}"/>
    <dgm:cxn modelId="{2D831796-8480-434F-9C9B-C0FE4AD2A6E5}" srcId="{9FBFE694-96A5-446D-9CA6-10D3720E400C}" destId="{FD842246-BF66-4AD2-936E-BDD6FECB006D}" srcOrd="4" destOrd="0" parTransId="{D308D9F5-FDF4-4C08-847E-CCEBCFF582B5}" sibTransId="{185E2917-5954-41E5-B541-B0AF38EC2955}"/>
    <dgm:cxn modelId="{9AF81C96-C425-7C45-B99D-6B72993E6D1A}" type="presOf" srcId="{143B6920-2610-4870-BD7B-6E1341FF510E}" destId="{064F1D21-5FD0-47EE-B863-0502AA372674}" srcOrd="0" destOrd="0" presId="urn:microsoft.com/office/officeart/2005/8/layout/radial4"/>
    <dgm:cxn modelId="{FB9D09A2-C500-5346-9F06-B045FDCD9B89}" type="presOf" srcId="{20FCDDDB-9214-AB42-B646-F8334C21AE50}" destId="{A73983DD-18C7-7A40-8E20-DE4FF8233D03}" srcOrd="0" destOrd="0" presId="urn:microsoft.com/office/officeart/2005/8/layout/radial4"/>
    <dgm:cxn modelId="{DDA75FA8-21A3-864C-AFC3-4C59A3AE2F84}" type="presOf" srcId="{92136B6C-B477-49D2-9BDB-59CBD94DB9BD}" destId="{910AD86A-5053-4FAA-B934-CAD76A150FE6}" srcOrd="0" destOrd="0" presId="urn:microsoft.com/office/officeart/2005/8/layout/radial4"/>
    <dgm:cxn modelId="{7ECF87AC-F095-471D-8F94-E92128B30488}" srcId="{9FBFE694-96A5-446D-9CA6-10D3720E400C}" destId="{92136B6C-B477-49D2-9BDB-59CBD94DB9BD}" srcOrd="5" destOrd="0" parTransId="{ACE23942-8015-448E-A6D7-154112B01C99}" sibTransId="{53A4DF51-0771-48FA-B004-FF02CE8B6465}"/>
    <dgm:cxn modelId="{108B2FAD-7268-C74B-83ED-E2C81168E029}" type="presOf" srcId="{5B6A9AE9-5FDF-40C3-804A-413E8A81E646}" destId="{B21869B1-9DEB-48FB-8D05-27FB69AE49FA}" srcOrd="0" destOrd="0" presId="urn:microsoft.com/office/officeart/2005/8/layout/radial4"/>
    <dgm:cxn modelId="{BC0431B0-6B07-B94F-ABCB-7E59F966EAF6}" type="presOf" srcId="{4E874F62-37B7-4B43-8E2E-28FD84AEC0A6}" destId="{F56628CB-006F-4D25-A536-0C1E833ABA0B}" srcOrd="0" destOrd="0" presId="urn:microsoft.com/office/officeart/2005/8/layout/radial4"/>
    <dgm:cxn modelId="{55AA70B3-12A1-D64B-B62D-CAEA270E3F0D}" type="presOf" srcId="{3D3A1650-BCA1-43DC-9DB4-3521A944CF71}" destId="{CD30D0D6-4AD5-4603-ABA1-1A0283FF2805}" srcOrd="0" destOrd="0" presId="urn:microsoft.com/office/officeart/2005/8/layout/radial4"/>
    <dgm:cxn modelId="{EC833DC1-9C3D-8F4C-8374-4BF897153F3F}" type="presOf" srcId="{F7825872-E101-E14B-B482-CA7A9A547021}" destId="{B8ABA416-6655-A548-B000-3490E297396C}" srcOrd="0" destOrd="0" presId="urn:microsoft.com/office/officeart/2005/8/layout/radial4"/>
    <dgm:cxn modelId="{A78B89C7-3473-8949-9F03-69ABD652852D}" type="presOf" srcId="{07E049E1-611B-479C-BED2-682891B38432}" destId="{DB6D05F4-6303-4F38-B4A1-5B58C899B2E9}" srcOrd="0" destOrd="0" presId="urn:microsoft.com/office/officeart/2005/8/layout/radial4"/>
    <dgm:cxn modelId="{F1184CCA-13FB-D54F-9850-B3357EF0328B}" srcId="{9FBFE694-96A5-446D-9CA6-10D3720E400C}" destId="{20FCDDDB-9214-AB42-B646-F8334C21AE50}" srcOrd="9" destOrd="0" parTransId="{F7825872-E101-E14B-B482-CA7A9A547021}" sibTransId="{F8F931A6-3D8D-2449-893B-8C04A34A7628}"/>
    <dgm:cxn modelId="{E9505FCB-BC53-354F-8217-01B729E923AF}" type="presOf" srcId="{2C3C7BAE-6CE8-4711-ACD6-809EEDDF2796}" destId="{867F37FF-8924-4602-83FD-3FF1DA25BD5F}" srcOrd="0" destOrd="0" presId="urn:microsoft.com/office/officeart/2005/8/layout/radial4"/>
    <dgm:cxn modelId="{0E53AACB-57DB-4C69-B933-704CA47129DE}" srcId="{9FBFE694-96A5-446D-9CA6-10D3720E400C}" destId="{8018D707-7E0A-4338-AEE5-186D87DC0ABF}" srcOrd="7" destOrd="0" parTransId="{3D3A1650-BCA1-43DC-9DB4-3521A944CF71}" sibTransId="{34744148-F451-4E0F-B656-9A2EC26714E3}"/>
    <dgm:cxn modelId="{F87BDAD5-DE63-EB42-8F2E-4EFB4525686A}" type="presOf" srcId="{4D3E20EB-7157-4DF4-8D4D-4DF45606B031}" destId="{7D9FD672-4C3F-470C-B6E1-3BF7511A9278}" srcOrd="0" destOrd="0" presId="urn:microsoft.com/office/officeart/2005/8/layout/radial4"/>
    <dgm:cxn modelId="{BCACEDDB-047B-490D-BD5E-05CB70345DE4}" srcId="{9FBFE694-96A5-446D-9CA6-10D3720E400C}" destId="{2C3C7BAE-6CE8-4711-ACD6-809EEDDF2796}" srcOrd="1" destOrd="0" parTransId="{4D3E20EB-7157-4DF4-8D4D-4DF45606B031}" sibTransId="{79E5CB2E-89B1-4C69-AD89-123E6A17B310}"/>
    <dgm:cxn modelId="{7A0E1ADE-9633-9A4B-AA1E-1202224E61D9}" type="presOf" srcId="{FD842246-BF66-4AD2-936E-BDD6FECB006D}" destId="{B5D5EBE1-DA48-4D90-BF2B-B4154729EC44}" srcOrd="0" destOrd="0" presId="urn:microsoft.com/office/officeart/2005/8/layout/radial4"/>
    <dgm:cxn modelId="{72A7DDE1-96E8-714A-B272-E40A0B867B8F}" srcId="{4E874F62-37B7-4B43-8E2E-28FD84AEC0A6}" destId="{2272F65F-7D69-244D-B672-E4121DBAACC6}" srcOrd="1" destOrd="0" parTransId="{8FAD08CA-4690-6A42-BBD5-F92B406288A3}" sibTransId="{C74E8B87-78C3-F246-B2A2-11B905943887}"/>
    <dgm:cxn modelId="{A1F8C3A3-26FD-C94B-9794-9916730C2DAA}" type="presParOf" srcId="{F56628CB-006F-4D25-A536-0C1E833ABA0B}" destId="{8044E4A2-2713-4541-A127-E2E2E69028E2}" srcOrd="0" destOrd="0" presId="urn:microsoft.com/office/officeart/2005/8/layout/radial4"/>
    <dgm:cxn modelId="{62C44E86-9FE3-5341-9AEA-F272AACC34D8}" type="presParOf" srcId="{F56628CB-006F-4D25-A536-0C1E833ABA0B}" destId="{458E77A6-0E8D-4053-B0B2-24E5C063CE95}" srcOrd="1" destOrd="0" presId="urn:microsoft.com/office/officeart/2005/8/layout/radial4"/>
    <dgm:cxn modelId="{C92C8C16-7E64-7F4C-8F3C-3EE8FAF85299}" type="presParOf" srcId="{F56628CB-006F-4D25-A536-0C1E833ABA0B}" destId="{7AA664FC-0237-4948-9C76-A0473450DD63}" srcOrd="2" destOrd="0" presId="urn:microsoft.com/office/officeart/2005/8/layout/radial4"/>
    <dgm:cxn modelId="{060FC294-AF5A-164F-8C57-510E8E6B9D38}" type="presParOf" srcId="{F56628CB-006F-4D25-A536-0C1E833ABA0B}" destId="{7D9FD672-4C3F-470C-B6E1-3BF7511A9278}" srcOrd="3" destOrd="0" presId="urn:microsoft.com/office/officeart/2005/8/layout/radial4"/>
    <dgm:cxn modelId="{84382472-2F2F-7A48-9A0B-72B58414A8CB}" type="presParOf" srcId="{F56628CB-006F-4D25-A536-0C1E833ABA0B}" destId="{867F37FF-8924-4602-83FD-3FF1DA25BD5F}" srcOrd="4" destOrd="0" presId="urn:microsoft.com/office/officeart/2005/8/layout/radial4"/>
    <dgm:cxn modelId="{42820828-D84E-5C4F-AF94-0A63F0B234F9}" type="presParOf" srcId="{F56628CB-006F-4D25-A536-0C1E833ABA0B}" destId="{7BE02A89-8721-4710-9E23-F252198E429C}" srcOrd="5" destOrd="0" presId="urn:microsoft.com/office/officeart/2005/8/layout/radial4"/>
    <dgm:cxn modelId="{548D3AA7-39F2-C94D-8274-29AE44115CB5}" type="presParOf" srcId="{F56628CB-006F-4D25-A536-0C1E833ABA0B}" destId="{918DFDBA-E631-4F29-B30C-17B97AFBA409}" srcOrd="6" destOrd="0" presId="urn:microsoft.com/office/officeart/2005/8/layout/radial4"/>
    <dgm:cxn modelId="{7B091CC1-DD89-284B-940B-8246059FBC05}" type="presParOf" srcId="{F56628CB-006F-4D25-A536-0C1E833ABA0B}" destId="{B21869B1-9DEB-48FB-8D05-27FB69AE49FA}" srcOrd="7" destOrd="0" presId="urn:microsoft.com/office/officeart/2005/8/layout/radial4"/>
    <dgm:cxn modelId="{989A37AB-B8D0-0442-A3FF-F6641C069E24}" type="presParOf" srcId="{F56628CB-006F-4D25-A536-0C1E833ABA0B}" destId="{DB6D05F4-6303-4F38-B4A1-5B58C899B2E9}" srcOrd="8" destOrd="0" presId="urn:microsoft.com/office/officeart/2005/8/layout/radial4"/>
    <dgm:cxn modelId="{998803FA-D1A3-5D4A-82CB-6707D6C240D5}" type="presParOf" srcId="{F56628CB-006F-4D25-A536-0C1E833ABA0B}" destId="{658B614F-39F8-423F-B7C9-22727BB3C412}" srcOrd="9" destOrd="0" presId="urn:microsoft.com/office/officeart/2005/8/layout/radial4"/>
    <dgm:cxn modelId="{1031740B-9854-3E4D-A198-7711E42CDD61}" type="presParOf" srcId="{F56628CB-006F-4D25-A536-0C1E833ABA0B}" destId="{B5D5EBE1-DA48-4D90-BF2B-B4154729EC44}" srcOrd="10" destOrd="0" presId="urn:microsoft.com/office/officeart/2005/8/layout/radial4"/>
    <dgm:cxn modelId="{98FA7C3F-F01B-F44F-81DD-49BC7094531D}" type="presParOf" srcId="{F56628CB-006F-4D25-A536-0C1E833ABA0B}" destId="{3422264C-AAF5-44A8-9828-E931CE961CC3}" srcOrd="11" destOrd="0" presId="urn:microsoft.com/office/officeart/2005/8/layout/radial4"/>
    <dgm:cxn modelId="{BDEB4662-3718-0C48-916B-4EE7B53F9F75}" type="presParOf" srcId="{F56628CB-006F-4D25-A536-0C1E833ABA0B}" destId="{910AD86A-5053-4FAA-B934-CAD76A150FE6}" srcOrd="12" destOrd="0" presId="urn:microsoft.com/office/officeart/2005/8/layout/radial4"/>
    <dgm:cxn modelId="{FCB06CC3-7B13-244B-B55B-F16338A9F07A}" type="presParOf" srcId="{F56628CB-006F-4D25-A536-0C1E833ABA0B}" destId="{6AA42575-5413-4B65-BD64-DC8A10AF1F8A}" srcOrd="13" destOrd="0" presId="urn:microsoft.com/office/officeart/2005/8/layout/radial4"/>
    <dgm:cxn modelId="{5F2A5A16-46DE-0C45-BA70-6DB3C415F296}" type="presParOf" srcId="{F56628CB-006F-4D25-A536-0C1E833ABA0B}" destId="{064F1D21-5FD0-47EE-B863-0502AA372674}" srcOrd="14" destOrd="0" presId="urn:microsoft.com/office/officeart/2005/8/layout/radial4"/>
    <dgm:cxn modelId="{A458359F-D412-E540-8A45-25AF8367BA92}" type="presParOf" srcId="{F56628CB-006F-4D25-A536-0C1E833ABA0B}" destId="{CD30D0D6-4AD5-4603-ABA1-1A0283FF2805}" srcOrd="15" destOrd="0" presId="urn:microsoft.com/office/officeart/2005/8/layout/radial4"/>
    <dgm:cxn modelId="{F63D5A5A-BEFA-124B-BF2C-1B5190FCF987}" type="presParOf" srcId="{F56628CB-006F-4D25-A536-0C1E833ABA0B}" destId="{73D1B730-C9A5-483A-B530-88D0FFEA6C93}" srcOrd="16" destOrd="0" presId="urn:microsoft.com/office/officeart/2005/8/layout/radial4"/>
    <dgm:cxn modelId="{576852B7-3EB5-E042-BA22-7C7E18CFAE24}" type="presParOf" srcId="{F56628CB-006F-4D25-A536-0C1E833ABA0B}" destId="{654FBBBC-3F42-47C9-B4DC-5395E34168E9}" srcOrd="17" destOrd="0" presId="urn:microsoft.com/office/officeart/2005/8/layout/radial4"/>
    <dgm:cxn modelId="{358024FA-7DF1-5F4F-8848-CE604BC6A84A}" type="presParOf" srcId="{F56628CB-006F-4D25-A536-0C1E833ABA0B}" destId="{FB44F802-D632-41DE-9672-E068790CEA2E}" srcOrd="18" destOrd="0" presId="urn:microsoft.com/office/officeart/2005/8/layout/radial4"/>
    <dgm:cxn modelId="{9B7968CE-4385-324B-8BD7-17AE985899D5}" type="presParOf" srcId="{F56628CB-006F-4D25-A536-0C1E833ABA0B}" destId="{B8ABA416-6655-A548-B000-3490E297396C}" srcOrd="19" destOrd="0" presId="urn:microsoft.com/office/officeart/2005/8/layout/radial4"/>
    <dgm:cxn modelId="{12386601-92D8-364D-97A5-8AA3E5C0FD77}" type="presParOf" srcId="{F56628CB-006F-4D25-A536-0C1E833ABA0B}" destId="{A73983DD-18C7-7A40-8E20-DE4FF8233D03}" srcOrd="20" destOrd="0" presId="urn:microsoft.com/office/officeart/2005/8/layout/radial4"/>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44E4A2-2713-4541-A127-E2E2E69028E2}">
      <dsp:nvSpPr>
        <dsp:cNvPr id="0" name=""/>
        <dsp:cNvSpPr/>
      </dsp:nvSpPr>
      <dsp:spPr>
        <a:xfrm>
          <a:off x="1212495" y="1477203"/>
          <a:ext cx="1554436" cy="665556"/>
        </a:xfrm>
        <a:prstGeom prst="ellipse">
          <a:avLst/>
        </a:prstGeom>
        <a:solidFill>
          <a:schemeClr val="accent1"/>
        </a:solidFill>
        <a:ln w="25400" cap="flat" cmpd="sng" algn="ctr">
          <a:solidFill>
            <a:schemeClr val="accent1">
              <a:shade val="50000"/>
            </a:schemeClr>
          </a:solidFill>
          <a:prstDash val="solid"/>
        </a:ln>
        <a:effectLst/>
      </dsp:spPr>
      <dsp:style>
        <a:lnRef idx="2">
          <a:schemeClr val="accent1">
            <a:shade val="50000"/>
          </a:schemeClr>
        </a:lnRef>
        <a:fillRef idx="1">
          <a:schemeClr val="accent1"/>
        </a:fillRef>
        <a:effectRef idx="0">
          <a:schemeClr val="accent1"/>
        </a:effectRef>
        <a:fontRef idx="minor">
          <a:schemeClr val="lt1"/>
        </a:fontRef>
      </dsp:style>
      <dsp:txBody>
        <a:bodyPr spcFirstLastPara="0" vert="horz" wrap="square" lIns="6985" tIns="6985" rIns="6985" bIns="6985" numCol="1" spcCol="1270" anchor="ctr" anchorCtr="0">
          <a:noAutofit/>
        </a:bodyPr>
        <a:lstStyle/>
        <a:p>
          <a:pPr marL="0" lvl="0" indent="0" algn="ctr" defTabSz="488950">
            <a:lnSpc>
              <a:spcPct val="90000"/>
            </a:lnSpc>
            <a:spcBef>
              <a:spcPct val="0"/>
            </a:spcBef>
            <a:spcAft>
              <a:spcPct val="35000"/>
            </a:spcAft>
            <a:buNone/>
          </a:pPr>
          <a:r>
            <a:rPr lang="en-US" sz="1100" kern="1200" dirty="0">
              <a:solidFill>
                <a:sysClr val="window" lastClr="FFFFFF"/>
              </a:solidFill>
              <a:latin typeface="Calibri"/>
              <a:ea typeface="+mn-ea"/>
              <a:cs typeface="+mn-cs"/>
            </a:rPr>
            <a:t>Roles and Responsibilities</a:t>
          </a:r>
        </a:p>
      </dsp:txBody>
      <dsp:txXfrm>
        <a:off x="1440137" y="1574671"/>
        <a:ext cx="1099152" cy="470620"/>
      </dsp:txXfrm>
    </dsp:sp>
    <dsp:sp modelId="{458E77A6-0E8D-4053-B0B2-24E5C063CE95}">
      <dsp:nvSpPr>
        <dsp:cNvPr id="0" name=""/>
        <dsp:cNvSpPr/>
      </dsp:nvSpPr>
      <dsp:spPr>
        <a:xfrm rot="10800000">
          <a:off x="315354" y="1722059"/>
          <a:ext cx="847798" cy="175844"/>
        </a:xfrm>
        <a:prstGeom prst="leftArrow">
          <a:avLst>
            <a:gd name="adj1" fmla="val 60000"/>
            <a:gd name="adj2" fmla="val 50000"/>
          </a:avLst>
        </a:prstGeom>
        <a:solidFill>
          <a:schemeClr val="accent1"/>
        </a:solidFill>
        <a:ln w="25400" cap="flat" cmpd="sng" algn="ctr">
          <a:solidFill>
            <a:schemeClr val="accent1">
              <a:shade val="50000"/>
            </a:schemeClr>
          </a:solidFill>
          <a:prstDash val="solid"/>
        </a:ln>
        <a:effectLst/>
      </dsp:spPr>
      <dsp:style>
        <a:lnRef idx="2">
          <a:schemeClr val="accent1">
            <a:shade val="50000"/>
          </a:schemeClr>
        </a:lnRef>
        <a:fillRef idx="1">
          <a:schemeClr val="accent1"/>
        </a:fillRef>
        <a:effectRef idx="0">
          <a:schemeClr val="accent1"/>
        </a:effectRef>
        <a:fontRef idx="minor">
          <a:schemeClr val="lt1"/>
        </a:fontRef>
      </dsp:style>
    </dsp:sp>
    <dsp:sp modelId="{7AA664FC-0237-4948-9C76-A0473450DD63}">
      <dsp:nvSpPr>
        <dsp:cNvPr id="0" name=""/>
        <dsp:cNvSpPr/>
      </dsp:nvSpPr>
      <dsp:spPr>
        <a:xfrm>
          <a:off x="2739" y="1637221"/>
          <a:ext cx="625230" cy="345519"/>
        </a:xfrm>
        <a:prstGeom prst="roundRect">
          <a:avLst>
            <a:gd name="adj" fmla="val 10000"/>
          </a:avLst>
        </a:prstGeom>
        <a:solidFill>
          <a:schemeClr val="accent1"/>
        </a:solidFill>
        <a:ln w="25400" cap="flat" cmpd="sng" algn="ctr">
          <a:solidFill>
            <a:schemeClr val="accent1">
              <a:shade val="50000"/>
            </a:schemeClr>
          </a:solidFill>
          <a:prstDash val="solid"/>
        </a:ln>
        <a:effectLst/>
      </dsp:spPr>
      <dsp:style>
        <a:lnRef idx="2">
          <a:schemeClr val="accent1">
            <a:shade val="50000"/>
          </a:schemeClr>
        </a:lnRef>
        <a:fillRef idx="1">
          <a:schemeClr val="accent1"/>
        </a:fillRef>
        <a:effectRef idx="0">
          <a:schemeClr val="accent1"/>
        </a:effectRef>
        <a:fontRef idx="minor">
          <a:schemeClr val="lt1"/>
        </a:fontRef>
      </dsp:style>
      <dsp:txBody>
        <a:bodyPr spcFirstLastPara="0" vert="horz" wrap="square" lIns="13335" tIns="13335" rIns="13335" bIns="1333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a:ea typeface="+mn-ea"/>
              <a:cs typeface="+mn-cs"/>
            </a:rPr>
            <a:t>Introduction</a:t>
          </a:r>
        </a:p>
      </dsp:txBody>
      <dsp:txXfrm>
        <a:off x="12859" y="1647341"/>
        <a:ext cx="604990" cy="325279"/>
      </dsp:txXfrm>
    </dsp:sp>
    <dsp:sp modelId="{7D9FD672-4C3F-470C-B6E1-3BF7511A9278}">
      <dsp:nvSpPr>
        <dsp:cNvPr id="0" name=""/>
        <dsp:cNvSpPr/>
      </dsp:nvSpPr>
      <dsp:spPr>
        <a:xfrm rot="11832298">
          <a:off x="420836" y="1376980"/>
          <a:ext cx="908896" cy="175844"/>
        </a:xfrm>
        <a:prstGeom prst="leftArrow">
          <a:avLst>
            <a:gd name="adj1" fmla="val 60000"/>
            <a:gd name="adj2" fmla="val 50000"/>
          </a:avLst>
        </a:prstGeom>
        <a:solidFill>
          <a:schemeClr val="accent1"/>
        </a:solidFill>
        <a:ln w="25400" cap="flat" cmpd="sng" algn="ctr">
          <a:solidFill>
            <a:schemeClr val="accent1">
              <a:shade val="50000"/>
            </a:schemeClr>
          </a:solidFill>
          <a:prstDash val="solid"/>
        </a:ln>
        <a:effectLst/>
      </dsp:spPr>
      <dsp:style>
        <a:lnRef idx="2">
          <a:schemeClr val="accent1">
            <a:shade val="50000"/>
          </a:schemeClr>
        </a:lnRef>
        <a:fillRef idx="1">
          <a:schemeClr val="accent1"/>
        </a:fillRef>
        <a:effectRef idx="0">
          <a:schemeClr val="accent1"/>
        </a:effectRef>
        <a:fontRef idx="minor">
          <a:schemeClr val="lt1"/>
        </a:fontRef>
      </dsp:style>
    </dsp:sp>
    <dsp:sp modelId="{867F37FF-8924-4602-83FD-3FF1DA25BD5F}">
      <dsp:nvSpPr>
        <dsp:cNvPr id="0" name=""/>
        <dsp:cNvSpPr/>
      </dsp:nvSpPr>
      <dsp:spPr>
        <a:xfrm>
          <a:off x="120007" y="1157721"/>
          <a:ext cx="642329" cy="345519"/>
        </a:xfrm>
        <a:prstGeom prst="roundRect">
          <a:avLst>
            <a:gd name="adj" fmla="val 10000"/>
          </a:avLst>
        </a:prstGeom>
        <a:solidFill>
          <a:schemeClr val="accent1"/>
        </a:solidFill>
        <a:ln w="25400" cap="flat" cmpd="sng" algn="ctr">
          <a:solidFill>
            <a:schemeClr val="accent1">
              <a:shade val="50000"/>
            </a:schemeClr>
          </a:solidFill>
          <a:prstDash val="solid"/>
        </a:ln>
        <a:effectLst/>
      </dsp:spPr>
      <dsp:style>
        <a:lnRef idx="2">
          <a:schemeClr val="accent1">
            <a:shade val="50000"/>
          </a:schemeClr>
        </a:lnRef>
        <a:fillRef idx="1">
          <a:schemeClr val="accent1"/>
        </a:fillRef>
        <a:effectRef idx="0">
          <a:schemeClr val="accent1"/>
        </a:effectRef>
        <a:fontRef idx="minor">
          <a:schemeClr val="lt1"/>
        </a:fontRef>
      </dsp:style>
      <dsp:txBody>
        <a:bodyPr spcFirstLastPara="0" vert="horz" wrap="square" lIns="13335" tIns="13335" rIns="13335" bIns="1333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a:ea typeface="+mn-ea"/>
              <a:cs typeface="+mn-cs"/>
            </a:rPr>
            <a:t>Adequate Information - SCADA</a:t>
          </a:r>
        </a:p>
      </dsp:txBody>
      <dsp:txXfrm>
        <a:off x="130127" y="1167841"/>
        <a:ext cx="622089" cy="325279"/>
      </dsp:txXfrm>
    </dsp:sp>
    <dsp:sp modelId="{7BE02A89-8721-4710-9E23-F252198E429C}">
      <dsp:nvSpPr>
        <dsp:cNvPr id="0" name=""/>
        <dsp:cNvSpPr/>
      </dsp:nvSpPr>
      <dsp:spPr>
        <a:xfrm rot="12861766">
          <a:off x="510851" y="1090324"/>
          <a:ext cx="1109897" cy="175844"/>
        </a:xfrm>
        <a:prstGeom prst="leftArrow">
          <a:avLst>
            <a:gd name="adj1" fmla="val 60000"/>
            <a:gd name="adj2" fmla="val 50000"/>
          </a:avLst>
        </a:prstGeom>
        <a:solidFill>
          <a:schemeClr val="accent1"/>
        </a:solidFill>
        <a:ln w="25400" cap="flat" cmpd="sng" algn="ctr">
          <a:solidFill>
            <a:schemeClr val="accent1">
              <a:shade val="50000"/>
            </a:schemeClr>
          </a:solidFill>
          <a:prstDash val="solid"/>
        </a:ln>
        <a:effectLst/>
      </dsp:spPr>
      <dsp:style>
        <a:lnRef idx="2">
          <a:schemeClr val="accent1">
            <a:shade val="50000"/>
          </a:schemeClr>
        </a:lnRef>
        <a:fillRef idx="1">
          <a:schemeClr val="accent1"/>
        </a:fillRef>
        <a:effectRef idx="0">
          <a:schemeClr val="accent1"/>
        </a:effectRef>
        <a:fontRef idx="minor">
          <a:schemeClr val="lt1"/>
        </a:fontRef>
      </dsp:style>
    </dsp:sp>
    <dsp:sp modelId="{918DFDBA-E631-4F29-B30C-17B97AFBA409}">
      <dsp:nvSpPr>
        <dsp:cNvPr id="0" name=""/>
        <dsp:cNvSpPr/>
      </dsp:nvSpPr>
      <dsp:spPr>
        <a:xfrm>
          <a:off x="296783" y="692256"/>
          <a:ext cx="621835" cy="345519"/>
        </a:xfrm>
        <a:prstGeom prst="roundRect">
          <a:avLst>
            <a:gd name="adj" fmla="val 10000"/>
          </a:avLst>
        </a:prstGeom>
        <a:solidFill>
          <a:schemeClr val="accent1"/>
        </a:solidFill>
        <a:ln w="25400" cap="flat" cmpd="sng" algn="ctr">
          <a:solidFill>
            <a:schemeClr val="accent1">
              <a:shade val="50000"/>
            </a:schemeClr>
          </a:solidFill>
          <a:prstDash val="solid"/>
        </a:ln>
        <a:effectLst/>
      </dsp:spPr>
      <dsp:style>
        <a:lnRef idx="2">
          <a:schemeClr val="accent1">
            <a:shade val="50000"/>
          </a:schemeClr>
        </a:lnRef>
        <a:fillRef idx="1">
          <a:schemeClr val="accent1"/>
        </a:fillRef>
        <a:effectRef idx="0">
          <a:schemeClr val="accent1"/>
        </a:effectRef>
        <a:fontRef idx="minor">
          <a:schemeClr val="lt1"/>
        </a:fontRef>
      </dsp:style>
      <dsp:txBody>
        <a:bodyPr spcFirstLastPara="0" vert="horz" wrap="square" lIns="13335" tIns="13335" rIns="13335" bIns="1333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a:ea typeface="+mn-ea"/>
              <a:cs typeface="+mn-cs"/>
            </a:rPr>
            <a:t>Adequate Information - Shift Change</a:t>
          </a:r>
        </a:p>
      </dsp:txBody>
      <dsp:txXfrm>
        <a:off x="306903" y="702376"/>
        <a:ext cx="601595" cy="325279"/>
      </dsp:txXfrm>
    </dsp:sp>
    <dsp:sp modelId="{B21869B1-9DEB-48FB-8D05-27FB69AE49FA}">
      <dsp:nvSpPr>
        <dsp:cNvPr id="0" name=""/>
        <dsp:cNvSpPr/>
      </dsp:nvSpPr>
      <dsp:spPr>
        <a:xfrm rot="13913438">
          <a:off x="640529" y="833595"/>
          <a:ext cx="1304610" cy="175844"/>
        </a:xfrm>
        <a:prstGeom prst="leftArrow">
          <a:avLst>
            <a:gd name="adj1" fmla="val 60000"/>
            <a:gd name="adj2" fmla="val 50000"/>
          </a:avLst>
        </a:prstGeom>
        <a:solidFill>
          <a:schemeClr val="accent1"/>
        </a:solidFill>
        <a:ln w="25400" cap="flat" cmpd="sng" algn="ctr">
          <a:solidFill>
            <a:schemeClr val="accent1">
              <a:shade val="50000"/>
            </a:schemeClr>
          </a:solidFill>
          <a:prstDash val="solid"/>
        </a:ln>
        <a:effectLst/>
      </dsp:spPr>
      <dsp:style>
        <a:lnRef idx="2">
          <a:schemeClr val="accent1">
            <a:shade val="50000"/>
          </a:schemeClr>
        </a:lnRef>
        <a:fillRef idx="1">
          <a:schemeClr val="accent1"/>
        </a:fillRef>
        <a:effectRef idx="0">
          <a:schemeClr val="accent1"/>
        </a:effectRef>
        <a:fontRef idx="minor">
          <a:schemeClr val="lt1"/>
        </a:fontRef>
      </dsp:style>
    </dsp:sp>
    <dsp:sp modelId="{DB6D05F4-6303-4F38-B4A1-5B58C899B2E9}">
      <dsp:nvSpPr>
        <dsp:cNvPr id="0" name=""/>
        <dsp:cNvSpPr/>
      </dsp:nvSpPr>
      <dsp:spPr>
        <a:xfrm>
          <a:off x="580047" y="235501"/>
          <a:ext cx="620414" cy="345519"/>
        </a:xfrm>
        <a:prstGeom prst="roundRect">
          <a:avLst>
            <a:gd name="adj" fmla="val 10000"/>
          </a:avLst>
        </a:prstGeom>
        <a:solidFill>
          <a:schemeClr val="accent1"/>
        </a:solidFill>
        <a:ln w="25400" cap="flat" cmpd="sng" algn="ctr">
          <a:solidFill>
            <a:schemeClr val="accent1">
              <a:shade val="50000"/>
            </a:schemeClr>
          </a:solidFill>
          <a:prstDash val="solid"/>
        </a:ln>
        <a:effectLst/>
      </dsp:spPr>
      <dsp:style>
        <a:lnRef idx="2">
          <a:schemeClr val="accent1">
            <a:shade val="50000"/>
          </a:schemeClr>
        </a:lnRef>
        <a:fillRef idx="1">
          <a:schemeClr val="accent1"/>
        </a:fillRef>
        <a:effectRef idx="0">
          <a:schemeClr val="accent1"/>
        </a:effectRef>
        <a:fontRef idx="minor">
          <a:schemeClr val="lt1"/>
        </a:fontRef>
      </dsp:style>
      <dsp:txBody>
        <a:bodyPr spcFirstLastPara="0" vert="horz" wrap="square" lIns="13335" tIns="13335" rIns="13335" bIns="1333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a:ea typeface="+mn-ea"/>
              <a:cs typeface="+mn-cs"/>
            </a:rPr>
            <a:t>Fatigue Risk Management</a:t>
          </a:r>
        </a:p>
      </dsp:txBody>
      <dsp:txXfrm>
        <a:off x="590167" y="245621"/>
        <a:ext cx="600174" cy="325279"/>
      </dsp:txXfrm>
    </dsp:sp>
    <dsp:sp modelId="{658B614F-39F8-423F-B7C9-22727BB3C412}">
      <dsp:nvSpPr>
        <dsp:cNvPr id="0" name=""/>
        <dsp:cNvSpPr/>
      </dsp:nvSpPr>
      <dsp:spPr>
        <a:xfrm rot="15374441">
          <a:off x="1097297" y="695872"/>
          <a:ext cx="1282266" cy="175844"/>
        </a:xfrm>
        <a:prstGeom prst="leftArrow">
          <a:avLst>
            <a:gd name="adj1" fmla="val 60000"/>
            <a:gd name="adj2" fmla="val 50000"/>
          </a:avLst>
        </a:prstGeom>
        <a:solidFill>
          <a:schemeClr val="accent1"/>
        </a:solidFill>
        <a:ln w="25400" cap="flat" cmpd="sng" algn="ctr">
          <a:solidFill>
            <a:schemeClr val="accent1">
              <a:shade val="50000"/>
            </a:schemeClr>
          </a:solidFill>
          <a:prstDash val="solid"/>
        </a:ln>
        <a:effectLst/>
      </dsp:spPr>
      <dsp:style>
        <a:lnRef idx="2">
          <a:schemeClr val="accent1">
            <a:shade val="50000"/>
          </a:schemeClr>
        </a:lnRef>
        <a:fillRef idx="1">
          <a:schemeClr val="accent1"/>
        </a:fillRef>
        <a:effectRef idx="0">
          <a:schemeClr val="accent1"/>
        </a:effectRef>
        <a:fontRef idx="minor">
          <a:schemeClr val="lt1"/>
        </a:fontRef>
      </dsp:style>
    </dsp:sp>
    <dsp:sp modelId="{B5D5EBE1-DA48-4D90-BF2B-B4154729EC44}">
      <dsp:nvSpPr>
        <dsp:cNvPr id="0" name=""/>
        <dsp:cNvSpPr/>
      </dsp:nvSpPr>
      <dsp:spPr>
        <a:xfrm>
          <a:off x="1266802" y="-11700"/>
          <a:ext cx="638278" cy="345519"/>
        </a:xfrm>
        <a:prstGeom prst="roundRect">
          <a:avLst>
            <a:gd name="adj" fmla="val 10000"/>
          </a:avLst>
        </a:prstGeom>
        <a:solidFill>
          <a:schemeClr val="accent1"/>
        </a:solidFill>
        <a:ln w="25400" cap="flat" cmpd="sng" algn="ctr">
          <a:solidFill>
            <a:schemeClr val="accent1">
              <a:shade val="50000"/>
            </a:schemeClr>
          </a:solidFill>
          <a:prstDash val="solid"/>
        </a:ln>
        <a:effectLst/>
      </dsp:spPr>
      <dsp:style>
        <a:lnRef idx="2">
          <a:schemeClr val="accent1">
            <a:shade val="50000"/>
          </a:schemeClr>
        </a:lnRef>
        <a:fillRef idx="1">
          <a:schemeClr val="accent1"/>
        </a:fillRef>
        <a:effectRef idx="0">
          <a:schemeClr val="accent1"/>
        </a:effectRef>
        <a:fontRef idx="minor">
          <a:schemeClr val="lt1"/>
        </a:fontRef>
      </dsp:style>
      <dsp:txBody>
        <a:bodyPr spcFirstLastPara="0" vert="horz" wrap="square" lIns="13335" tIns="13335" rIns="13335" bIns="1333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a:ea typeface="+mn-ea"/>
              <a:cs typeface="+mn-cs"/>
            </a:rPr>
            <a:t>Alarm Management</a:t>
          </a:r>
        </a:p>
      </dsp:txBody>
      <dsp:txXfrm>
        <a:off x="1276922" y="-1580"/>
        <a:ext cx="618038" cy="325279"/>
      </dsp:txXfrm>
    </dsp:sp>
    <dsp:sp modelId="{3422264C-AAF5-44A8-9828-E931CE961CC3}">
      <dsp:nvSpPr>
        <dsp:cNvPr id="0" name=""/>
        <dsp:cNvSpPr/>
      </dsp:nvSpPr>
      <dsp:spPr>
        <a:xfrm rot="17064751">
          <a:off x="1581182" y="667858"/>
          <a:ext cx="1286117" cy="175844"/>
        </a:xfrm>
        <a:prstGeom prst="leftArrow">
          <a:avLst>
            <a:gd name="adj1" fmla="val 60000"/>
            <a:gd name="adj2" fmla="val 50000"/>
          </a:avLst>
        </a:prstGeom>
        <a:solidFill>
          <a:schemeClr val="accent1"/>
        </a:solidFill>
        <a:ln w="25400" cap="flat" cmpd="sng" algn="ctr">
          <a:solidFill>
            <a:schemeClr val="accent1">
              <a:shade val="50000"/>
            </a:schemeClr>
          </a:solidFill>
          <a:prstDash val="solid"/>
        </a:ln>
        <a:effectLst/>
      </dsp:spPr>
      <dsp:style>
        <a:lnRef idx="2">
          <a:schemeClr val="accent1">
            <a:shade val="50000"/>
          </a:schemeClr>
        </a:lnRef>
        <a:fillRef idx="1">
          <a:schemeClr val="accent1"/>
        </a:fillRef>
        <a:effectRef idx="0">
          <a:schemeClr val="accent1"/>
        </a:effectRef>
        <a:fontRef idx="minor">
          <a:schemeClr val="lt1"/>
        </a:fontRef>
      </dsp:style>
    </dsp:sp>
    <dsp:sp modelId="{910AD86A-5053-4FAA-B934-CAD76A150FE6}">
      <dsp:nvSpPr>
        <dsp:cNvPr id="0" name=""/>
        <dsp:cNvSpPr/>
      </dsp:nvSpPr>
      <dsp:spPr>
        <a:xfrm>
          <a:off x="2072572" y="-11700"/>
          <a:ext cx="681791" cy="345519"/>
        </a:xfrm>
        <a:prstGeom prst="roundRect">
          <a:avLst>
            <a:gd name="adj" fmla="val 10000"/>
          </a:avLst>
        </a:prstGeom>
        <a:solidFill>
          <a:schemeClr val="accent1"/>
        </a:solidFill>
        <a:ln w="25400" cap="flat" cmpd="sng" algn="ctr">
          <a:solidFill>
            <a:schemeClr val="accent1">
              <a:shade val="50000"/>
            </a:schemeClr>
          </a:solidFill>
          <a:prstDash val="solid"/>
        </a:ln>
        <a:effectLst/>
      </dsp:spPr>
      <dsp:style>
        <a:lnRef idx="2">
          <a:schemeClr val="accent1">
            <a:shade val="50000"/>
          </a:schemeClr>
        </a:lnRef>
        <a:fillRef idx="1">
          <a:schemeClr val="accent1"/>
        </a:fillRef>
        <a:effectRef idx="0">
          <a:schemeClr val="accent1"/>
        </a:effectRef>
        <a:fontRef idx="minor">
          <a:schemeClr val="lt1"/>
        </a:fontRef>
      </dsp:style>
      <dsp:txBody>
        <a:bodyPr spcFirstLastPara="0" vert="horz" wrap="square" lIns="13335" tIns="13335" rIns="13335" bIns="1333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a:ea typeface="+mn-ea"/>
              <a:cs typeface="+mn-cs"/>
            </a:rPr>
            <a:t>Change Management</a:t>
          </a:r>
        </a:p>
      </dsp:txBody>
      <dsp:txXfrm>
        <a:off x="2082692" y="-1580"/>
        <a:ext cx="661551" cy="325279"/>
      </dsp:txXfrm>
    </dsp:sp>
    <dsp:sp modelId="{6AA42575-5413-4B65-BD64-DC8A10AF1F8A}">
      <dsp:nvSpPr>
        <dsp:cNvPr id="0" name=""/>
        <dsp:cNvSpPr/>
      </dsp:nvSpPr>
      <dsp:spPr>
        <a:xfrm rot="18613332">
          <a:off x="1993893" y="783807"/>
          <a:ext cx="1364950" cy="175844"/>
        </a:xfrm>
        <a:prstGeom prst="leftArrow">
          <a:avLst>
            <a:gd name="adj1" fmla="val 60000"/>
            <a:gd name="adj2" fmla="val 50000"/>
          </a:avLst>
        </a:prstGeom>
        <a:solidFill>
          <a:schemeClr val="accent1"/>
        </a:solidFill>
        <a:ln w="25400" cap="flat" cmpd="sng" algn="ctr">
          <a:solidFill>
            <a:schemeClr val="accent1">
              <a:shade val="50000"/>
            </a:schemeClr>
          </a:solidFill>
          <a:prstDash val="solid"/>
        </a:ln>
        <a:effectLst/>
      </dsp:spPr>
      <dsp:style>
        <a:lnRef idx="2">
          <a:schemeClr val="accent1">
            <a:shade val="50000"/>
          </a:schemeClr>
        </a:lnRef>
        <a:fillRef idx="1">
          <a:schemeClr val="accent1"/>
        </a:fillRef>
        <a:effectRef idx="0">
          <a:schemeClr val="accent1"/>
        </a:effectRef>
        <a:fontRef idx="minor">
          <a:schemeClr val="lt1"/>
        </a:fontRef>
      </dsp:style>
    </dsp:sp>
    <dsp:sp modelId="{064F1D21-5FD0-47EE-B863-0502AA372674}">
      <dsp:nvSpPr>
        <dsp:cNvPr id="0" name=""/>
        <dsp:cNvSpPr/>
      </dsp:nvSpPr>
      <dsp:spPr>
        <a:xfrm>
          <a:off x="2841618" y="221466"/>
          <a:ext cx="690883" cy="345519"/>
        </a:xfrm>
        <a:prstGeom prst="roundRect">
          <a:avLst>
            <a:gd name="adj" fmla="val 10000"/>
          </a:avLst>
        </a:prstGeom>
        <a:solidFill>
          <a:schemeClr val="accent1"/>
        </a:solidFill>
        <a:ln w="25400" cap="flat" cmpd="sng" algn="ctr">
          <a:solidFill>
            <a:schemeClr val="accent1">
              <a:shade val="50000"/>
            </a:schemeClr>
          </a:solidFill>
          <a:prstDash val="solid"/>
        </a:ln>
        <a:effectLst/>
      </dsp:spPr>
      <dsp:style>
        <a:lnRef idx="2">
          <a:schemeClr val="accent1">
            <a:shade val="50000"/>
          </a:schemeClr>
        </a:lnRef>
        <a:fillRef idx="1">
          <a:schemeClr val="accent1"/>
        </a:fillRef>
        <a:effectRef idx="0">
          <a:schemeClr val="accent1"/>
        </a:effectRef>
        <a:fontRef idx="minor">
          <a:schemeClr val="lt1"/>
        </a:fontRef>
      </dsp:style>
      <dsp:txBody>
        <a:bodyPr spcFirstLastPara="0" vert="horz" wrap="square" lIns="13335" tIns="13335" rIns="13335" bIns="1333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a:ea typeface="+mn-ea"/>
              <a:cs typeface="+mn-cs"/>
            </a:rPr>
            <a:t>Lessons Learned Program</a:t>
          </a:r>
        </a:p>
      </dsp:txBody>
      <dsp:txXfrm>
        <a:off x="2851738" y="231586"/>
        <a:ext cx="670643" cy="325279"/>
      </dsp:txXfrm>
    </dsp:sp>
    <dsp:sp modelId="{CD30D0D6-4AD5-4603-ABA1-1A0283FF2805}">
      <dsp:nvSpPr>
        <dsp:cNvPr id="0" name=""/>
        <dsp:cNvSpPr/>
      </dsp:nvSpPr>
      <dsp:spPr>
        <a:xfrm rot="19600216">
          <a:off x="2376169" y="1099934"/>
          <a:ext cx="1119135" cy="175844"/>
        </a:xfrm>
        <a:prstGeom prst="leftArrow">
          <a:avLst>
            <a:gd name="adj1" fmla="val 60000"/>
            <a:gd name="adj2" fmla="val 50000"/>
          </a:avLst>
        </a:prstGeom>
        <a:solidFill>
          <a:schemeClr val="accent1"/>
        </a:solidFill>
        <a:ln w="25400" cap="flat" cmpd="sng" algn="ctr">
          <a:solidFill>
            <a:schemeClr val="accent1">
              <a:shade val="50000"/>
            </a:schemeClr>
          </a:solidFill>
          <a:prstDash val="solid"/>
        </a:ln>
        <a:effectLst/>
      </dsp:spPr>
      <dsp:style>
        <a:lnRef idx="2">
          <a:schemeClr val="accent1">
            <a:shade val="50000"/>
          </a:schemeClr>
        </a:lnRef>
        <a:fillRef idx="1">
          <a:schemeClr val="accent1"/>
        </a:fillRef>
        <a:effectRef idx="0">
          <a:schemeClr val="accent1"/>
        </a:effectRef>
        <a:fontRef idx="minor">
          <a:schemeClr val="lt1"/>
        </a:fontRef>
      </dsp:style>
    </dsp:sp>
    <dsp:sp modelId="{73D1B730-C9A5-483A-B530-88D0FFEA6C93}">
      <dsp:nvSpPr>
        <dsp:cNvPr id="0" name=""/>
        <dsp:cNvSpPr/>
      </dsp:nvSpPr>
      <dsp:spPr>
        <a:xfrm>
          <a:off x="3066759" y="707638"/>
          <a:ext cx="673020" cy="345519"/>
        </a:xfrm>
        <a:prstGeom prst="roundRect">
          <a:avLst>
            <a:gd name="adj" fmla="val 10000"/>
          </a:avLst>
        </a:prstGeom>
        <a:solidFill>
          <a:schemeClr val="accent1"/>
        </a:solidFill>
        <a:ln w="25400" cap="flat" cmpd="sng" algn="ctr">
          <a:solidFill>
            <a:schemeClr val="accent1">
              <a:shade val="50000"/>
            </a:schemeClr>
          </a:solidFill>
          <a:prstDash val="solid"/>
        </a:ln>
        <a:effectLst/>
      </dsp:spPr>
      <dsp:style>
        <a:lnRef idx="2">
          <a:schemeClr val="accent1">
            <a:shade val="50000"/>
          </a:schemeClr>
        </a:lnRef>
        <a:fillRef idx="1">
          <a:schemeClr val="accent1"/>
        </a:fillRef>
        <a:effectRef idx="0">
          <a:schemeClr val="accent1"/>
        </a:effectRef>
        <a:fontRef idx="minor">
          <a:schemeClr val="lt1"/>
        </a:fontRef>
      </dsp:style>
      <dsp:txBody>
        <a:bodyPr spcFirstLastPara="0" vert="horz" wrap="square" lIns="13335" tIns="13335" rIns="13335" bIns="1333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a:ea typeface="+mn-ea"/>
              <a:cs typeface="+mn-cs"/>
            </a:rPr>
            <a:t>Controller Training Program</a:t>
          </a:r>
        </a:p>
      </dsp:txBody>
      <dsp:txXfrm>
        <a:off x="3076879" y="717758"/>
        <a:ext cx="652780" cy="325279"/>
      </dsp:txXfrm>
    </dsp:sp>
    <dsp:sp modelId="{654FBBBC-3F42-47C9-B4DC-5395E34168E9}">
      <dsp:nvSpPr>
        <dsp:cNvPr id="0" name=""/>
        <dsp:cNvSpPr/>
      </dsp:nvSpPr>
      <dsp:spPr>
        <a:xfrm rot="20639566">
          <a:off x="2668506" y="1397408"/>
          <a:ext cx="905715" cy="175844"/>
        </a:xfrm>
        <a:prstGeom prst="leftArrow">
          <a:avLst>
            <a:gd name="adj1" fmla="val 60000"/>
            <a:gd name="adj2" fmla="val 50000"/>
          </a:avLst>
        </a:prstGeom>
        <a:solidFill>
          <a:schemeClr val="accent1"/>
        </a:solidFill>
        <a:ln w="25400" cap="flat" cmpd="sng" algn="ctr">
          <a:solidFill>
            <a:schemeClr val="accent1">
              <a:shade val="50000"/>
            </a:schemeClr>
          </a:solidFill>
          <a:prstDash val="solid"/>
        </a:ln>
        <a:effectLst/>
      </dsp:spPr>
      <dsp:style>
        <a:lnRef idx="2">
          <a:schemeClr val="accent1">
            <a:shade val="50000"/>
          </a:schemeClr>
        </a:lnRef>
        <a:fillRef idx="1">
          <a:schemeClr val="accent1"/>
        </a:fillRef>
        <a:effectRef idx="0">
          <a:schemeClr val="accent1"/>
        </a:effectRef>
        <a:fontRef idx="minor">
          <a:schemeClr val="lt1"/>
        </a:fontRef>
      </dsp:style>
    </dsp:sp>
    <dsp:sp modelId="{FB44F802-D632-41DE-9672-E068790CEA2E}">
      <dsp:nvSpPr>
        <dsp:cNvPr id="0" name=""/>
        <dsp:cNvSpPr/>
      </dsp:nvSpPr>
      <dsp:spPr>
        <a:xfrm>
          <a:off x="3213357" y="1187691"/>
          <a:ext cx="686611" cy="345519"/>
        </a:xfrm>
        <a:prstGeom prst="roundRect">
          <a:avLst>
            <a:gd name="adj" fmla="val 10000"/>
          </a:avLst>
        </a:prstGeom>
        <a:solidFill>
          <a:schemeClr val="accent1"/>
        </a:solidFill>
        <a:ln w="25400" cap="flat" cmpd="sng" algn="ctr">
          <a:solidFill>
            <a:schemeClr val="accent1">
              <a:shade val="50000"/>
            </a:schemeClr>
          </a:solidFill>
          <a:prstDash val="solid"/>
        </a:ln>
        <a:effectLst/>
      </dsp:spPr>
      <dsp:style>
        <a:lnRef idx="2">
          <a:schemeClr val="accent1">
            <a:shade val="50000"/>
          </a:schemeClr>
        </a:lnRef>
        <a:fillRef idx="1">
          <a:schemeClr val="accent1"/>
        </a:fillRef>
        <a:effectRef idx="0">
          <a:schemeClr val="accent1"/>
        </a:effectRef>
        <a:fontRef idx="minor">
          <a:schemeClr val="lt1"/>
        </a:fontRef>
      </dsp:style>
      <dsp:txBody>
        <a:bodyPr spcFirstLastPara="0" vert="horz" wrap="square" lIns="13335" tIns="13335" rIns="13335" bIns="13335" numCol="1" spcCol="1270" anchor="ctr" anchorCtr="0">
          <a:noAutofit/>
        </a:bodyPr>
        <a:lstStyle/>
        <a:p>
          <a:pPr marL="0" lvl="0" indent="0" algn="ctr" defTabSz="311150">
            <a:lnSpc>
              <a:spcPct val="90000"/>
            </a:lnSpc>
            <a:spcBef>
              <a:spcPct val="0"/>
            </a:spcBef>
            <a:spcAft>
              <a:spcPct val="35000"/>
            </a:spcAft>
            <a:buNone/>
          </a:pPr>
          <a:r>
            <a:rPr lang="en-US" sz="700" kern="1200" dirty="0">
              <a:solidFill>
                <a:sysClr val="window" lastClr="FFFFFF"/>
              </a:solidFill>
              <a:latin typeface="Calibri"/>
              <a:ea typeface="+mn-ea"/>
              <a:cs typeface="+mn-cs"/>
            </a:rPr>
            <a:t>Compliance and Deviations</a:t>
          </a:r>
        </a:p>
      </dsp:txBody>
      <dsp:txXfrm>
        <a:off x="3223477" y="1197811"/>
        <a:ext cx="666371" cy="325279"/>
      </dsp:txXfrm>
    </dsp:sp>
    <dsp:sp modelId="{B8ABA416-6655-A548-B000-3490E297396C}">
      <dsp:nvSpPr>
        <dsp:cNvPr id="0" name=""/>
        <dsp:cNvSpPr/>
      </dsp:nvSpPr>
      <dsp:spPr>
        <a:xfrm>
          <a:off x="2816274" y="1722059"/>
          <a:ext cx="847798" cy="175844"/>
        </a:xfrm>
        <a:prstGeom prst="leftArrow">
          <a:avLst>
            <a:gd name="adj1" fmla="val 60000"/>
            <a:gd name="adj2" fmla="val 50000"/>
          </a:avLst>
        </a:prstGeom>
        <a:solidFill>
          <a:schemeClr val="accent1"/>
        </a:solidFill>
        <a:ln w="25400" cap="flat" cmpd="sng" algn="ctr">
          <a:solidFill>
            <a:schemeClr val="accent1">
              <a:shade val="50000"/>
            </a:schemeClr>
          </a:solidFill>
          <a:prstDash val="solid"/>
        </a:ln>
        <a:effectLst/>
      </dsp:spPr>
      <dsp:style>
        <a:lnRef idx="2">
          <a:schemeClr val="accent1">
            <a:shade val="50000"/>
          </a:schemeClr>
        </a:lnRef>
        <a:fillRef idx="1">
          <a:schemeClr val="accent1"/>
        </a:fillRef>
        <a:effectRef idx="0">
          <a:schemeClr val="accent1"/>
        </a:effectRef>
        <a:fontRef idx="minor">
          <a:schemeClr val="lt1"/>
        </a:fontRef>
      </dsp:style>
    </dsp:sp>
    <dsp:sp modelId="{A73983DD-18C7-7A40-8E20-DE4FF8233D03}">
      <dsp:nvSpPr>
        <dsp:cNvPr id="0" name=""/>
        <dsp:cNvSpPr/>
      </dsp:nvSpPr>
      <dsp:spPr>
        <a:xfrm>
          <a:off x="3254185" y="1637221"/>
          <a:ext cx="819775" cy="345519"/>
        </a:xfrm>
        <a:prstGeom prst="roundRect">
          <a:avLst>
            <a:gd name="adj" fmla="val 10000"/>
          </a:avLst>
        </a:prstGeom>
        <a:solidFill>
          <a:schemeClr val="accent1"/>
        </a:solidFill>
        <a:ln w="25400" cap="flat" cmpd="sng" algn="ctr">
          <a:solidFill>
            <a:schemeClr val="accent1">
              <a:shade val="50000"/>
            </a:schemeClr>
          </a:solidFill>
          <a:prstDash val="solid"/>
        </a:ln>
        <a:effectLst/>
      </dsp:spPr>
      <dsp:style>
        <a:lnRef idx="2">
          <a:schemeClr val="accent1">
            <a:shade val="50000"/>
          </a:schemeClr>
        </a:lnRef>
        <a:fillRef idx="1">
          <a:schemeClr val="accent1"/>
        </a:fillRef>
        <a:effectRef idx="0">
          <a:schemeClr val="accent1"/>
        </a:effectRef>
        <a:fontRef idx="minor">
          <a:schemeClr val="lt1"/>
        </a:fontRef>
      </dsp:style>
      <dsp:txBody>
        <a:bodyPr spcFirstLastPara="0" vert="horz" wrap="square" lIns="13335" tIns="13335" rIns="13335" bIns="13335" numCol="1" spcCol="1270" anchor="ctr" anchorCtr="0">
          <a:noAutofit/>
        </a:bodyPr>
        <a:lstStyle/>
        <a:p>
          <a:pPr marL="0" lvl="0" indent="0" algn="ctr" defTabSz="311150">
            <a:lnSpc>
              <a:spcPct val="90000"/>
            </a:lnSpc>
            <a:spcBef>
              <a:spcPct val="0"/>
            </a:spcBef>
            <a:spcAft>
              <a:spcPct val="35000"/>
            </a:spcAft>
            <a:buNone/>
          </a:pPr>
          <a:r>
            <a:rPr lang="en-US" sz="700" kern="1200">
              <a:solidFill>
                <a:sysClr val="window" lastClr="FFFFFF"/>
              </a:solidFill>
              <a:latin typeface="Calibri"/>
              <a:ea typeface="+mn-ea"/>
              <a:cs typeface="+mn-cs"/>
            </a:rPr>
            <a:t>Workload </a:t>
          </a:r>
          <a:r>
            <a:rPr lang="en-US" sz="700" kern="1200" dirty="0">
              <a:solidFill>
                <a:sysClr val="window" lastClr="FFFFFF"/>
              </a:solidFill>
              <a:latin typeface="Calibri"/>
              <a:ea typeface="+mn-ea"/>
              <a:cs typeface="+mn-cs"/>
            </a:rPr>
            <a:t>Analysis Method</a:t>
          </a:r>
        </a:p>
      </dsp:txBody>
      <dsp:txXfrm>
        <a:off x="3264305" y="1647341"/>
        <a:ext cx="799535" cy="325279"/>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A8EC4-4179-40E7-9E60-D14CA48A6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cspindesign</dc:creator>
  <cp:lastModifiedBy>Christina Broom</cp:lastModifiedBy>
  <cp:revision>6</cp:revision>
  <cp:lastPrinted>2017-09-19T19:51:00Z</cp:lastPrinted>
  <dcterms:created xsi:type="dcterms:W3CDTF">2017-09-19T15:14:00Z</dcterms:created>
  <dcterms:modified xsi:type="dcterms:W3CDTF">2017-09-19T20:04:00Z</dcterms:modified>
</cp:coreProperties>
</file>