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FA6FD" w14:textId="77777777" w:rsidR="00594A34" w:rsidRDefault="00594A34" w:rsidP="00290BCA">
      <w:pPr>
        <w:ind w:left="810"/>
        <w:rPr>
          <w:noProof/>
        </w:rPr>
      </w:pPr>
    </w:p>
    <w:p w14:paraId="3415F62D" w14:textId="77777777" w:rsidR="00594A34" w:rsidRDefault="00594A34" w:rsidP="00290BCA">
      <w:pPr>
        <w:ind w:left="810"/>
        <w:rPr>
          <w:noProof/>
        </w:rPr>
      </w:pPr>
    </w:p>
    <w:p w14:paraId="4991F403" w14:textId="77777777" w:rsidR="00594A34" w:rsidRDefault="00594A34" w:rsidP="00290BCA">
      <w:pPr>
        <w:ind w:left="810"/>
        <w:rPr>
          <w:noProof/>
        </w:rPr>
      </w:pPr>
    </w:p>
    <w:p w14:paraId="7F4B04DB" w14:textId="77777777" w:rsidR="00594A34" w:rsidRDefault="00594A34" w:rsidP="00290BCA">
      <w:pPr>
        <w:ind w:left="810"/>
        <w:rPr>
          <w:noProof/>
        </w:rPr>
      </w:pPr>
    </w:p>
    <w:p w14:paraId="7C0649BB" w14:textId="68289D6D" w:rsidR="000931E6" w:rsidRDefault="002779D5" w:rsidP="000939E8">
      <w:pPr>
        <w:spacing w:after="120"/>
        <w:ind w:left="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The Theory of Multiple Causes</w:t>
      </w:r>
    </w:p>
    <w:p w14:paraId="3C6F1564" w14:textId="3206D0AF" w:rsidR="00714BE8" w:rsidRDefault="00E8429D" w:rsidP="000939E8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“Operating Experience” section of the PH</w:t>
      </w:r>
      <w:r w:rsidR="00D502EC">
        <w:rPr>
          <w:rFonts w:ascii="Times New Roman" w:hAnsi="Times New Roman" w:cs="Times New Roman"/>
        </w:rPr>
        <w:t>MSA CRM inspection questions (G1</w:t>
      </w:r>
      <w:r>
        <w:rPr>
          <w:rFonts w:ascii="Times New Roman" w:hAnsi="Times New Roman" w:cs="Times New Roman"/>
        </w:rPr>
        <w:t xml:space="preserve">-1) </w:t>
      </w:r>
      <w:r w:rsidR="00D502EC">
        <w:rPr>
          <w:rFonts w:ascii="Times New Roman" w:hAnsi="Times New Roman" w:cs="Times New Roman"/>
        </w:rPr>
        <w:t xml:space="preserve">outlines a process for </w:t>
      </w:r>
      <w:r w:rsidR="00972745">
        <w:rPr>
          <w:rFonts w:ascii="Times New Roman" w:hAnsi="Times New Roman" w:cs="Times New Roman"/>
        </w:rPr>
        <w:t xml:space="preserve">“employing a formal, structured </w:t>
      </w:r>
      <w:r w:rsidR="003923C3">
        <w:rPr>
          <w:rFonts w:ascii="Times New Roman" w:hAnsi="Times New Roman" w:cs="Times New Roman"/>
        </w:rPr>
        <w:t xml:space="preserve">approach </w:t>
      </w:r>
      <w:r w:rsidR="00714BE8">
        <w:rPr>
          <w:rFonts w:ascii="Times New Roman" w:hAnsi="Times New Roman" w:cs="Times New Roman"/>
        </w:rPr>
        <w:t>for reviewing and critiquing reportable events to identify lessons learned.”  Does your company use a root cause analysis process that inclu</w:t>
      </w:r>
      <w:r w:rsidR="00F56A95">
        <w:rPr>
          <w:rFonts w:ascii="Times New Roman" w:hAnsi="Times New Roman" w:cs="Times New Roman"/>
        </w:rPr>
        <w:t xml:space="preserve">des a review of primary and secondary causes, as </w:t>
      </w:r>
      <w:r w:rsidR="0065511E">
        <w:rPr>
          <w:rFonts w:ascii="Times New Roman" w:hAnsi="Times New Roman" w:cs="Times New Roman"/>
        </w:rPr>
        <w:t xml:space="preserve">well as contributing factors?  </w:t>
      </w:r>
      <w:r w:rsidR="00B039E3">
        <w:rPr>
          <w:rFonts w:ascii="Times New Roman" w:hAnsi="Times New Roman" w:cs="Times New Roman"/>
        </w:rPr>
        <w:t>Does the method require you to look beyond a single cause?</w:t>
      </w:r>
    </w:p>
    <w:p w14:paraId="223CCC23" w14:textId="02E06459" w:rsidR="0065511E" w:rsidRDefault="0065511E" w:rsidP="00AE01D0">
      <w:pPr>
        <w:spacing w:before="60" w:after="6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Marcus Aurelius</w:t>
      </w:r>
      <w:r w:rsidR="00353E84">
        <w:rPr>
          <w:rFonts w:ascii="Times New Roman" w:hAnsi="Times New Roman" w:cs="Times New Roman"/>
        </w:rPr>
        <w:t xml:space="preserve"> (161</w:t>
      </w:r>
      <w:r w:rsidR="0079055B">
        <w:rPr>
          <w:rFonts w:ascii="Times New Roman" w:hAnsi="Times New Roman" w:cs="Times New Roman"/>
        </w:rPr>
        <w:t xml:space="preserve"> AD </w:t>
      </w:r>
      <w:r w:rsidR="00353E84">
        <w:rPr>
          <w:rFonts w:ascii="Times New Roman" w:hAnsi="Times New Roman" w:cs="Times New Roman"/>
        </w:rPr>
        <w:t>-180</w:t>
      </w:r>
      <w:r w:rsidR="0079055B">
        <w:rPr>
          <w:rFonts w:ascii="Times New Roman" w:hAnsi="Times New Roman" w:cs="Times New Roman"/>
        </w:rPr>
        <w:t xml:space="preserve"> AD</w:t>
      </w:r>
      <w:r w:rsidR="00353E84">
        <w:rPr>
          <w:rFonts w:ascii="Times New Roman" w:hAnsi="Times New Roman" w:cs="Times New Roman"/>
        </w:rPr>
        <w:t>), the Stoic philosopher and Roman emperor,</w:t>
      </w:r>
      <w:r w:rsidR="004512F6">
        <w:rPr>
          <w:rFonts w:ascii="Times New Roman" w:hAnsi="Times New Roman" w:cs="Times New Roman"/>
        </w:rPr>
        <w:t xml:space="preserve"> advised something similar in his time:</w:t>
      </w:r>
    </w:p>
    <w:p w14:paraId="2C56B423" w14:textId="77777777" w:rsidR="004512F6" w:rsidRPr="004512F6" w:rsidRDefault="004512F6" w:rsidP="004959C6">
      <w:pPr>
        <w:spacing w:before="60" w:after="60" w:line="240" w:lineRule="auto"/>
        <w:ind w:left="1440"/>
        <w:rPr>
          <w:rFonts w:ascii="Times New Roman" w:hAnsi="Times New Roman" w:cs="Times New Roman"/>
          <w:i/>
        </w:rPr>
      </w:pPr>
      <w:r w:rsidRPr="004512F6">
        <w:rPr>
          <w:rFonts w:ascii="Times New Roman" w:hAnsi="Times New Roman" w:cs="Times New Roman"/>
          <w:i/>
        </w:rPr>
        <w:t>We are too much accustomed to attribute to a single cause that which is the product of several, and the majority of our controversies come from that.</w:t>
      </w:r>
    </w:p>
    <w:p w14:paraId="24C996D2" w14:textId="095AA7AF" w:rsidR="004512F6" w:rsidRDefault="00493ACC" w:rsidP="004959C6">
      <w:pPr>
        <w:spacing w:before="60"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been using the Systematic Cause Analysis Technique (SCAT)</w:t>
      </w:r>
      <w:r w:rsidR="00350103">
        <w:rPr>
          <w:rFonts w:ascii="Times New Roman" w:hAnsi="Times New Roman" w:cs="Times New Roman"/>
        </w:rPr>
        <w:t xml:space="preserve"> for analysis of operating incidents, personal and vehicle accidents, near misses</w:t>
      </w:r>
      <w:r w:rsidR="00363C1A">
        <w:rPr>
          <w:rFonts w:ascii="Times New Roman" w:hAnsi="Times New Roman" w:cs="Times New Roman"/>
        </w:rPr>
        <w:t>, and other events since 1999.</w:t>
      </w:r>
      <w:r w:rsidR="002D667A">
        <w:rPr>
          <w:rFonts w:ascii="Times New Roman" w:hAnsi="Times New Roman" w:cs="Times New Roman"/>
        </w:rPr>
        <w:t xml:space="preserve">  The SCAT method is based on the theory of multiple causes</w:t>
      </w:r>
      <w:r w:rsidR="005D46BD">
        <w:rPr>
          <w:rFonts w:ascii="Times New Roman" w:hAnsi="Times New Roman" w:cs="Times New Roman"/>
        </w:rPr>
        <w:t>, or that there are always more than one cause in an incident.</w:t>
      </w:r>
      <w:r w:rsidR="00EA12E1">
        <w:rPr>
          <w:rFonts w:ascii="Times New Roman" w:hAnsi="Times New Roman" w:cs="Times New Roman"/>
        </w:rPr>
        <w:t xml:space="preserve">  The basic model of the theory is illustrated below.</w:t>
      </w:r>
    </w:p>
    <w:p w14:paraId="295A5424" w14:textId="1F58BB22" w:rsidR="00EA12E1" w:rsidRDefault="00EA12E1" w:rsidP="00714BE8">
      <w:pPr>
        <w:spacing w:before="120"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A0FC086" wp14:editId="227BB9AB">
            <wp:extent cx="5168900" cy="508000"/>
            <wp:effectExtent l="0" t="0" r="127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F6F9BCA" w14:textId="1F5A6167" w:rsidR="007B380C" w:rsidRDefault="007B380C" w:rsidP="004959C6">
      <w:pPr>
        <w:spacing w:before="60" w:after="120" w:line="240" w:lineRule="auto"/>
        <w:ind w:left="720"/>
        <w:rPr>
          <w:rFonts w:ascii="Times New Roman" w:hAnsi="Times New Roman" w:cs="Times New Roman"/>
        </w:rPr>
      </w:pPr>
      <w:r w:rsidRPr="007B380C">
        <w:rPr>
          <w:rFonts w:ascii="Times New Roman" w:hAnsi="Times New Roman" w:cs="Times New Roman"/>
        </w:rPr>
        <w:t>Chrysippus (c. 2</w:t>
      </w:r>
      <w:r w:rsidR="0079055B">
        <w:rPr>
          <w:rFonts w:ascii="Times New Roman" w:hAnsi="Times New Roman" w:cs="Times New Roman"/>
        </w:rPr>
        <w:t>79 – c. 206 BC</w:t>
      </w:r>
      <w:r w:rsidRPr="007B380C">
        <w:rPr>
          <w:rFonts w:ascii="Times New Roman" w:hAnsi="Times New Roman" w:cs="Times New Roman"/>
        </w:rPr>
        <w:t>)</w:t>
      </w:r>
      <w:r w:rsidR="0079055B">
        <w:rPr>
          <w:rFonts w:ascii="Times New Roman" w:hAnsi="Times New Roman" w:cs="Times New Roman"/>
        </w:rPr>
        <w:t>, one of the early Stoics,</w:t>
      </w:r>
      <w:r w:rsidR="001D37A2">
        <w:rPr>
          <w:rFonts w:ascii="Times New Roman" w:hAnsi="Times New Roman" w:cs="Times New Roman"/>
        </w:rPr>
        <w:t xml:space="preserve"> had a theory of causality that </w:t>
      </w:r>
      <w:r w:rsidR="0051137E">
        <w:rPr>
          <w:rFonts w:ascii="Times New Roman" w:hAnsi="Times New Roman" w:cs="Times New Roman"/>
        </w:rPr>
        <w:t xml:space="preserve">all things happen according to fate.  </w:t>
      </w:r>
      <w:r w:rsidR="006E6619">
        <w:rPr>
          <w:rFonts w:ascii="Times New Roman" w:hAnsi="Times New Roman" w:cs="Times New Roman"/>
        </w:rPr>
        <w:t>That may seem illogic</w:t>
      </w:r>
      <w:r w:rsidR="00200888">
        <w:rPr>
          <w:rFonts w:ascii="Times New Roman" w:hAnsi="Times New Roman" w:cs="Times New Roman"/>
        </w:rPr>
        <w:t>al</w:t>
      </w:r>
      <w:r w:rsidR="005F100E">
        <w:rPr>
          <w:rFonts w:ascii="Times New Roman" w:hAnsi="Times New Roman" w:cs="Times New Roman"/>
        </w:rPr>
        <w:t xml:space="preserve"> in 2018</w:t>
      </w:r>
      <w:r w:rsidR="00200888">
        <w:rPr>
          <w:rFonts w:ascii="Times New Roman" w:hAnsi="Times New Roman" w:cs="Times New Roman"/>
        </w:rPr>
        <w:t xml:space="preserve">, but he meant nothing takes place without a sufficient cause.  </w:t>
      </w:r>
      <w:r w:rsidR="00EE5027">
        <w:rPr>
          <w:rFonts w:ascii="Times New Roman" w:hAnsi="Times New Roman" w:cs="Times New Roman"/>
        </w:rPr>
        <w:t>An accident al</w:t>
      </w:r>
      <w:r w:rsidR="005F100E">
        <w:rPr>
          <w:rFonts w:ascii="Times New Roman" w:hAnsi="Times New Roman" w:cs="Times New Roman"/>
        </w:rPr>
        <w:t>s</w:t>
      </w:r>
      <w:r w:rsidR="00EE5027">
        <w:rPr>
          <w:rFonts w:ascii="Times New Roman" w:hAnsi="Times New Roman" w:cs="Times New Roman"/>
        </w:rPr>
        <w:t xml:space="preserve">o has </w:t>
      </w:r>
      <w:r w:rsidR="005F100E">
        <w:rPr>
          <w:rFonts w:ascii="Times New Roman" w:hAnsi="Times New Roman" w:cs="Times New Roman"/>
        </w:rPr>
        <w:t>cause</w:t>
      </w:r>
      <w:r w:rsidR="00EE5027">
        <w:rPr>
          <w:rFonts w:ascii="Times New Roman" w:hAnsi="Times New Roman" w:cs="Times New Roman"/>
        </w:rPr>
        <w:t>s that are</w:t>
      </w:r>
      <w:r w:rsidR="00926C70">
        <w:rPr>
          <w:rFonts w:ascii="Times New Roman" w:hAnsi="Times New Roman" w:cs="Times New Roman"/>
        </w:rPr>
        <w:t xml:space="preserve"> not apparent to the senses. He said:</w:t>
      </w:r>
    </w:p>
    <w:p w14:paraId="7F0230ED" w14:textId="18D2DD8B" w:rsidR="00926C70" w:rsidRPr="007B380C" w:rsidRDefault="00926C70" w:rsidP="00926C70">
      <w:pPr>
        <w:spacing w:before="120" w:after="120" w:line="240" w:lineRule="auto"/>
        <w:ind w:left="1440"/>
        <w:rPr>
          <w:rFonts w:ascii="Times New Roman" w:hAnsi="Times New Roman" w:cs="Times New Roman"/>
        </w:rPr>
      </w:pPr>
      <w:r w:rsidRPr="00EA3B5A">
        <w:rPr>
          <w:rFonts w:ascii="Times New Roman" w:hAnsi="Times New Roman" w:cs="Times New Roman"/>
          <w:i/>
        </w:rPr>
        <w:t>Of causes, some are complete and primary, others auxiliary and proximate. </w:t>
      </w:r>
    </w:p>
    <w:p w14:paraId="040E7603" w14:textId="763CBA06" w:rsidR="0027158B" w:rsidRDefault="00887D61" w:rsidP="004959C6">
      <w:pPr>
        <w:spacing w:before="60" w:after="60" w:line="240" w:lineRule="auto"/>
        <w:ind w:left="720"/>
        <w:rPr>
          <w:rFonts w:ascii="Times New Roman" w:hAnsi="Times New Roman" w:cs="Times New Roman"/>
        </w:rPr>
      </w:pPr>
      <w:r w:rsidRPr="00887D61">
        <w:rPr>
          <w:rFonts w:ascii="Times New Roman" w:hAnsi="Times New Roman" w:cs="Times New Roman"/>
        </w:rPr>
        <w:t>In the SCAT method</w:t>
      </w:r>
      <w:r>
        <w:rPr>
          <w:rFonts w:ascii="Times New Roman" w:hAnsi="Times New Roman" w:cs="Times New Roman"/>
        </w:rPr>
        <w:t xml:space="preserve">, the immediate causes are those that </w:t>
      </w:r>
      <w:r w:rsidR="00D41953">
        <w:rPr>
          <w:rFonts w:ascii="Times New Roman" w:hAnsi="Times New Roman" w:cs="Times New Roman"/>
        </w:rPr>
        <w:t xml:space="preserve">can be seen, heard, felt, smelled, or even tasted.  </w:t>
      </w:r>
      <w:r w:rsidR="00082FFF">
        <w:rPr>
          <w:rFonts w:ascii="Times New Roman" w:hAnsi="Times New Roman" w:cs="Times New Roman"/>
        </w:rPr>
        <w:t xml:space="preserve">Let me illustrate with an example of </w:t>
      </w:r>
      <w:r w:rsidR="00703250">
        <w:rPr>
          <w:rFonts w:ascii="Times New Roman" w:hAnsi="Times New Roman" w:cs="Times New Roman"/>
        </w:rPr>
        <w:t>two</w:t>
      </w:r>
      <w:r w:rsidR="00082FFF">
        <w:rPr>
          <w:rFonts w:ascii="Times New Roman" w:hAnsi="Times New Roman" w:cs="Times New Roman"/>
        </w:rPr>
        <w:t xml:space="preserve"> tank overflow</w:t>
      </w:r>
      <w:r w:rsidR="00D279BB">
        <w:rPr>
          <w:rFonts w:ascii="Times New Roman" w:hAnsi="Times New Roman" w:cs="Times New Roman"/>
        </w:rPr>
        <w:t xml:space="preserve"> incident</w:t>
      </w:r>
      <w:r w:rsidR="00703250">
        <w:rPr>
          <w:rFonts w:ascii="Times New Roman" w:hAnsi="Times New Roman" w:cs="Times New Roman"/>
        </w:rPr>
        <w:t>s</w:t>
      </w:r>
      <w:r w:rsidR="00082FFF">
        <w:rPr>
          <w:rFonts w:ascii="Times New Roman" w:hAnsi="Times New Roman" w:cs="Times New Roman"/>
        </w:rPr>
        <w:t xml:space="preserve">.  The </w:t>
      </w:r>
      <w:r w:rsidR="00B61A25">
        <w:rPr>
          <w:rFonts w:ascii="Times New Roman" w:hAnsi="Times New Roman" w:cs="Times New Roman"/>
        </w:rPr>
        <w:t>product on the ground can be seen and probably smelled.</w:t>
      </w:r>
      <w:r w:rsidR="00325A43">
        <w:rPr>
          <w:rFonts w:ascii="Times New Roman" w:hAnsi="Times New Roman" w:cs="Times New Roman"/>
        </w:rPr>
        <w:t xml:space="preserve">  The immediate causes m</w:t>
      </w:r>
      <w:r w:rsidR="00F31262">
        <w:rPr>
          <w:rFonts w:ascii="Times New Roman" w:hAnsi="Times New Roman" w:cs="Times New Roman"/>
        </w:rPr>
        <w:t xml:space="preserve">ight be “failure to </w:t>
      </w:r>
      <w:r w:rsidR="0069608E">
        <w:rPr>
          <w:rFonts w:ascii="Times New Roman" w:hAnsi="Times New Roman" w:cs="Times New Roman"/>
        </w:rPr>
        <w:t>check/</w:t>
      </w:r>
      <w:r w:rsidR="00F31262">
        <w:rPr>
          <w:rFonts w:ascii="Times New Roman" w:hAnsi="Times New Roman" w:cs="Times New Roman"/>
        </w:rPr>
        <w:t xml:space="preserve">monitor” </w:t>
      </w:r>
      <w:r w:rsidR="007E3D19">
        <w:rPr>
          <w:rFonts w:ascii="Times New Roman" w:hAnsi="Times New Roman" w:cs="Times New Roman"/>
        </w:rPr>
        <w:t>or</w:t>
      </w:r>
      <w:r w:rsidR="00427911">
        <w:rPr>
          <w:rFonts w:ascii="Times New Roman" w:hAnsi="Times New Roman" w:cs="Times New Roman"/>
        </w:rPr>
        <w:t xml:space="preserve"> “failure to react/correct” </w:t>
      </w:r>
      <w:r w:rsidR="00F31262">
        <w:rPr>
          <w:rFonts w:ascii="Times New Roman" w:hAnsi="Times New Roman" w:cs="Times New Roman"/>
        </w:rPr>
        <w:t>by a Controller or a “defective warning system.”</w:t>
      </w:r>
      <w:r w:rsidR="00FC0AE3">
        <w:rPr>
          <w:rFonts w:ascii="Times New Roman" w:hAnsi="Times New Roman" w:cs="Times New Roman"/>
        </w:rPr>
        <w:t xml:space="preserve">  Those are what Chrysippus termed complete and primary.</w:t>
      </w:r>
      <w:r w:rsidR="00D94C96">
        <w:rPr>
          <w:rFonts w:ascii="Times New Roman" w:hAnsi="Times New Roman" w:cs="Times New Roman"/>
        </w:rPr>
        <w:t xml:space="preserve">  What could be the basic causes, or the auxiliary and proximate causes?</w:t>
      </w:r>
      <w:r w:rsidR="00427911">
        <w:rPr>
          <w:rFonts w:ascii="Times New Roman" w:hAnsi="Times New Roman" w:cs="Times New Roman"/>
        </w:rPr>
        <w:t xml:space="preserve">  Perhaps we need to heed Marcus Aurelius and not attribute the tank ove</w:t>
      </w:r>
      <w:r w:rsidR="00002371">
        <w:rPr>
          <w:rFonts w:ascii="Times New Roman" w:hAnsi="Times New Roman" w:cs="Times New Roman"/>
        </w:rPr>
        <w:t>rflow to these immediate causes.  Perhaps we need to determine if there are basic causes that led to the lack of control.</w:t>
      </w:r>
    </w:p>
    <w:p w14:paraId="01B585BA" w14:textId="44E34B29" w:rsidR="00F226C8" w:rsidRDefault="00002371" w:rsidP="004959C6">
      <w:pPr>
        <w:spacing w:before="60" w:after="6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the very least</w:t>
      </w:r>
      <w:r w:rsidR="00EA2CC2">
        <w:rPr>
          <w:rFonts w:ascii="Times New Roman" w:hAnsi="Times New Roman" w:cs="Times New Roman"/>
        </w:rPr>
        <w:t xml:space="preserve">, we need to consider the potential </w:t>
      </w:r>
      <w:r w:rsidR="00B17C06">
        <w:rPr>
          <w:rFonts w:ascii="Times New Roman" w:hAnsi="Times New Roman" w:cs="Times New Roman"/>
        </w:rPr>
        <w:t xml:space="preserve">contributing factors from </w:t>
      </w:r>
      <w:r w:rsidR="006272C4">
        <w:rPr>
          <w:rFonts w:ascii="Times New Roman" w:hAnsi="Times New Roman" w:cs="Times New Roman"/>
        </w:rPr>
        <w:t xml:space="preserve">the </w:t>
      </w:r>
      <w:r w:rsidR="00B17C06">
        <w:rPr>
          <w:rFonts w:ascii="Times New Roman" w:hAnsi="Times New Roman" w:cs="Times New Roman"/>
        </w:rPr>
        <w:t>PHMS</w:t>
      </w:r>
      <w:r w:rsidR="00115059">
        <w:rPr>
          <w:rFonts w:ascii="Times New Roman" w:hAnsi="Times New Roman" w:cs="Times New Roman"/>
        </w:rPr>
        <w:t>A CRM inspection questions (G1-2).  Those are controller fatigue, field equipment, operation of any relief device, procedures, SCADA system configuration, SCADA system performance, and involvement of field personnel.</w:t>
      </w:r>
      <w:r w:rsidR="007E3D19">
        <w:rPr>
          <w:rFonts w:ascii="Times New Roman" w:hAnsi="Times New Roman" w:cs="Times New Roman"/>
        </w:rPr>
        <w:t xml:space="preserve">  In one </w:t>
      </w:r>
      <w:r w:rsidR="006272C4">
        <w:rPr>
          <w:rFonts w:ascii="Times New Roman" w:hAnsi="Times New Roman" w:cs="Times New Roman"/>
        </w:rPr>
        <w:t xml:space="preserve">tank overflow incident, the failure of the tank gauging system and </w:t>
      </w:r>
      <w:r w:rsidR="0011762C">
        <w:rPr>
          <w:rFonts w:ascii="Times New Roman" w:hAnsi="Times New Roman" w:cs="Times New Roman"/>
        </w:rPr>
        <w:t xml:space="preserve">inoperable </w:t>
      </w:r>
      <w:r w:rsidR="006272C4">
        <w:rPr>
          <w:rFonts w:ascii="Times New Roman" w:hAnsi="Times New Roman" w:cs="Times New Roman"/>
        </w:rPr>
        <w:t>tank alarms</w:t>
      </w:r>
      <w:r w:rsidR="0011762C">
        <w:rPr>
          <w:rFonts w:ascii="Times New Roman" w:hAnsi="Times New Roman" w:cs="Times New Roman"/>
        </w:rPr>
        <w:t xml:space="preserve"> were the basic causes.  In </w:t>
      </w:r>
      <w:r w:rsidR="007E3D19">
        <w:rPr>
          <w:rFonts w:ascii="Times New Roman" w:hAnsi="Times New Roman" w:cs="Times New Roman"/>
        </w:rPr>
        <w:t>the second</w:t>
      </w:r>
      <w:r w:rsidR="007F3F85">
        <w:rPr>
          <w:rFonts w:ascii="Times New Roman" w:hAnsi="Times New Roman" w:cs="Times New Roman"/>
        </w:rPr>
        <w:t xml:space="preserve"> incident, a </w:t>
      </w:r>
      <w:bookmarkStart w:id="0" w:name="_GoBack"/>
      <w:bookmarkEnd w:id="0"/>
      <w:r w:rsidR="0011762C">
        <w:rPr>
          <w:rFonts w:ascii="Times New Roman" w:hAnsi="Times New Roman" w:cs="Times New Roman"/>
        </w:rPr>
        <w:t xml:space="preserve">Control Room Operator was </w:t>
      </w:r>
      <w:r w:rsidR="00557932">
        <w:rPr>
          <w:rFonts w:ascii="Times New Roman" w:hAnsi="Times New Roman" w:cs="Times New Roman"/>
        </w:rPr>
        <w:t xml:space="preserve">asleep and failed to </w:t>
      </w:r>
      <w:r w:rsidR="00F226C8">
        <w:rPr>
          <w:rFonts w:ascii="Times New Roman" w:hAnsi="Times New Roman" w:cs="Times New Roman"/>
        </w:rPr>
        <w:t>react to alarms</w:t>
      </w:r>
      <w:r w:rsidR="00557932">
        <w:rPr>
          <w:rFonts w:ascii="Times New Roman" w:hAnsi="Times New Roman" w:cs="Times New Roman"/>
        </w:rPr>
        <w:t xml:space="preserve">. </w:t>
      </w:r>
      <w:r w:rsidR="00A71A70">
        <w:rPr>
          <w:rFonts w:ascii="Times New Roman" w:hAnsi="Times New Roman" w:cs="Times New Roman"/>
        </w:rPr>
        <w:t xml:space="preserve"> </w:t>
      </w:r>
    </w:p>
    <w:p w14:paraId="73484A81" w14:textId="22E7B84A" w:rsidR="00EA2CC2" w:rsidRPr="00EA2CC2" w:rsidRDefault="00F226C8" w:rsidP="00E26530">
      <w:pPr>
        <w:spacing w:before="60" w:after="60" w:line="240" w:lineRule="auto"/>
        <w:ind w:left="720"/>
        <w:rPr>
          <w:rFonts w:ascii="Courier New" w:hAnsi="Courier New" w:cs="Times New Roman"/>
          <w:sz w:val="24"/>
          <w:szCs w:val="24"/>
        </w:rPr>
      </w:pPr>
      <w:r>
        <w:rPr>
          <w:rFonts w:ascii="Times New Roman" w:hAnsi="Times New Roman" w:cs="Times New Roman"/>
        </w:rPr>
        <w:t>The former had sev</w:t>
      </w:r>
      <w:r w:rsidR="00733E6B">
        <w:rPr>
          <w:rFonts w:ascii="Times New Roman" w:hAnsi="Times New Roman" w:cs="Times New Roman"/>
        </w:rPr>
        <w:t>eral causes. The latter had one. O</w:t>
      </w:r>
      <w:r>
        <w:rPr>
          <w:rFonts w:ascii="Times New Roman" w:hAnsi="Times New Roman" w:cs="Times New Roman"/>
        </w:rPr>
        <w:t xml:space="preserve">r did it? </w:t>
      </w:r>
      <w:r w:rsidR="00A71A70">
        <w:rPr>
          <w:rFonts w:ascii="Times New Roman" w:hAnsi="Times New Roman" w:cs="Times New Roman"/>
        </w:rPr>
        <w:t>In the latter, the incident analysis should have looked at the reasons the Operator was asleep.</w:t>
      </w:r>
      <w:r w:rsidR="00DA72E9">
        <w:rPr>
          <w:rFonts w:ascii="Times New Roman" w:hAnsi="Times New Roman" w:cs="Times New Roman"/>
        </w:rPr>
        <w:t xml:space="preserve">  Would the </w:t>
      </w:r>
      <w:r w:rsidR="000939E8">
        <w:rPr>
          <w:rFonts w:ascii="Times New Roman" w:hAnsi="Times New Roman" w:cs="Times New Roman"/>
        </w:rPr>
        <w:t xml:space="preserve">incident analysis method </w:t>
      </w:r>
      <w:r w:rsidR="00DA72E9">
        <w:rPr>
          <w:rFonts w:ascii="Times New Roman" w:hAnsi="Times New Roman" w:cs="Times New Roman"/>
        </w:rPr>
        <w:t xml:space="preserve">at your company </w:t>
      </w:r>
      <w:r w:rsidR="00E26530">
        <w:rPr>
          <w:rFonts w:ascii="Times New Roman" w:hAnsi="Times New Roman" w:cs="Times New Roman"/>
        </w:rPr>
        <w:t xml:space="preserve">consider multiple causes or just the single cause that would expedite the completion of the </w:t>
      </w:r>
      <w:r w:rsidR="00703250">
        <w:rPr>
          <w:rFonts w:ascii="Times New Roman" w:hAnsi="Times New Roman" w:cs="Times New Roman"/>
        </w:rPr>
        <w:t>incident investigation?</w:t>
      </w:r>
      <w:r w:rsidR="00733E6B">
        <w:rPr>
          <w:rFonts w:ascii="Times New Roman" w:hAnsi="Times New Roman" w:cs="Times New Roman"/>
        </w:rPr>
        <w:t xml:space="preserve">  Learn from the Stoics.</w:t>
      </w:r>
    </w:p>
    <w:sectPr w:rsidR="00EA2CC2" w:rsidRPr="00EA2CC2" w:rsidSect="007658B6">
      <w:headerReference w:type="default" r:id="rId13"/>
      <w:footerReference w:type="default" r:id="rId14"/>
      <w:pgSz w:w="12240" w:h="15840"/>
      <w:pgMar w:top="1440" w:right="1890" w:bottom="990" w:left="1440" w:header="720" w:footer="4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AFD55" w14:textId="77777777" w:rsidR="007F3F85" w:rsidRDefault="007F3F85" w:rsidP="00290BCA">
      <w:pPr>
        <w:spacing w:after="0" w:line="240" w:lineRule="auto"/>
      </w:pPr>
      <w:r>
        <w:separator/>
      </w:r>
    </w:p>
  </w:endnote>
  <w:endnote w:type="continuationSeparator" w:id="0">
    <w:p w14:paraId="7A0E1675" w14:textId="77777777" w:rsidR="007F3F85" w:rsidRDefault="007F3F85" w:rsidP="0029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A4718" w14:textId="77777777" w:rsidR="007F3F85" w:rsidRDefault="007F3F85" w:rsidP="00290BCA">
    <w:pPr>
      <w:pStyle w:val="Footer"/>
      <w:jc w:val="center"/>
    </w:pPr>
    <w:r>
      <w:rPr>
        <w:rFonts w:ascii="Arial" w:hAnsi="Arial" w:cs="Arial"/>
        <w:sz w:val="20"/>
        <w:szCs w:val="20"/>
      </w:rPr>
      <w:t xml:space="preserve">    CRM and Philosophy </w:t>
    </w:r>
    <w:r w:rsidRPr="002B036A">
      <w:rPr>
        <w:rFonts w:ascii="Arial" w:hAnsi="Arial" w:cs="Arial"/>
        <w:sz w:val="20"/>
        <w:szCs w:val="20"/>
      </w:rPr>
      <w:t>| Charles Alday © 2018 Please Distribute to Others.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A96D8" w14:textId="77777777" w:rsidR="007F3F85" w:rsidRDefault="007F3F85" w:rsidP="00290BCA">
      <w:pPr>
        <w:spacing w:after="0" w:line="240" w:lineRule="auto"/>
      </w:pPr>
      <w:r>
        <w:separator/>
      </w:r>
    </w:p>
  </w:footnote>
  <w:footnote w:type="continuationSeparator" w:id="0">
    <w:p w14:paraId="2766133C" w14:textId="77777777" w:rsidR="007F3F85" w:rsidRDefault="007F3F85" w:rsidP="0029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2C0BE" w14:textId="08C4343C" w:rsidR="007F3F85" w:rsidRDefault="007F3F85">
    <w:pPr>
      <w:pStyle w:val="Header"/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545079FF" wp14:editId="5D96F669">
          <wp:simplePos x="0" y="0"/>
          <wp:positionH relativeFrom="column">
            <wp:posOffset>-923290</wp:posOffset>
          </wp:positionH>
          <wp:positionV relativeFrom="paragraph">
            <wp:posOffset>-457200</wp:posOffset>
          </wp:positionV>
          <wp:extent cx="7771765" cy="10058400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ic philosophy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7BEE0457" wp14:editId="692CC61A">
          <wp:simplePos x="0" y="0"/>
          <wp:positionH relativeFrom="column">
            <wp:posOffset>3526155</wp:posOffset>
          </wp:positionH>
          <wp:positionV relativeFrom="paragraph">
            <wp:posOffset>1176020</wp:posOffset>
          </wp:positionV>
          <wp:extent cx="1855470" cy="504190"/>
          <wp:effectExtent l="0" t="0" r="0" b="0"/>
          <wp:wrapThrough wrapText="bothSides">
            <wp:wrapPolygon edited="0">
              <wp:start x="0" y="0"/>
              <wp:lineTo x="0" y="20403"/>
              <wp:lineTo x="21290" y="20403"/>
              <wp:lineTo x="2129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PELINE PERFORMANCE LOGO_FIN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547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DB1"/>
    <w:multiLevelType w:val="multilevel"/>
    <w:tmpl w:val="BBAEA1F8"/>
    <w:lvl w:ilvl="0">
      <w:start w:val="1"/>
      <w:numFmt w:val="decimal"/>
      <w:pStyle w:val="Level1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Level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Level3"/>
      <w:lvlText w:val="%1.%2.%3."/>
      <w:lvlJc w:val="left"/>
      <w:pPr>
        <w:ind w:left="1944" w:hanging="504"/>
      </w:pPr>
      <w:rPr>
        <w:rFonts w:cs="Times New Roman"/>
      </w:rPr>
    </w:lvl>
    <w:lvl w:ilvl="3">
      <w:start w:val="1"/>
      <w:numFmt w:val="decimal"/>
      <w:pStyle w:val="Level4"/>
      <w:lvlText w:val="%1.%2.%3.%4."/>
      <w:lvlJc w:val="left"/>
      <w:pPr>
        <w:ind w:left="33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6AA66F3"/>
    <w:multiLevelType w:val="hybridMultilevel"/>
    <w:tmpl w:val="96D4E9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282320"/>
    <w:multiLevelType w:val="hybridMultilevel"/>
    <w:tmpl w:val="53B6ED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194387"/>
    <w:multiLevelType w:val="hybridMultilevel"/>
    <w:tmpl w:val="BBF2A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433161"/>
    <w:multiLevelType w:val="hybridMultilevel"/>
    <w:tmpl w:val="0DD856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1179F4"/>
    <w:multiLevelType w:val="hybridMultilevel"/>
    <w:tmpl w:val="A17487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F922E9"/>
    <w:multiLevelType w:val="multilevel"/>
    <w:tmpl w:val="DD1C34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72"/>
    <w:rsid w:val="00002371"/>
    <w:rsid w:val="00007B9F"/>
    <w:rsid w:val="000172CC"/>
    <w:rsid w:val="00022D8A"/>
    <w:rsid w:val="00043DCF"/>
    <w:rsid w:val="00064B7A"/>
    <w:rsid w:val="000753B6"/>
    <w:rsid w:val="00082FFF"/>
    <w:rsid w:val="0009227E"/>
    <w:rsid w:val="000931E6"/>
    <w:rsid w:val="000939E8"/>
    <w:rsid w:val="000B038A"/>
    <w:rsid w:val="000C5896"/>
    <w:rsid w:val="000D0C54"/>
    <w:rsid w:val="000D26AD"/>
    <w:rsid w:val="000E1DF2"/>
    <w:rsid w:val="000E52E1"/>
    <w:rsid w:val="000F7DE0"/>
    <w:rsid w:val="00100464"/>
    <w:rsid w:val="00100A02"/>
    <w:rsid w:val="0010187C"/>
    <w:rsid w:val="00103015"/>
    <w:rsid w:val="00114ADA"/>
    <w:rsid w:val="00114CAB"/>
    <w:rsid w:val="00115059"/>
    <w:rsid w:val="00116C2C"/>
    <w:rsid w:val="0011762C"/>
    <w:rsid w:val="00130ADF"/>
    <w:rsid w:val="00132076"/>
    <w:rsid w:val="00137CA4"/>
    <w:rsid w:val="0014429B"/>
    <w:rsid w:val="00151AFD"/>
    <w:rsid w:val="00157FFD"/>
    <w:rsid w:val="00162B20"/>
    <w:rsid w:val="001658EB"/>
    <w:rsid w:val="0016593D"/>
    <w:rsid w:val="0017585B"/>
    <w:rsid w:val="00180485"/>
    <w:rsid w:val="00181D25"/>
    <w:rsid w:val="00186C89"/>
    <w:rsid w:val="00193E80"/>
    <w:rsid w:val="001A4F09"/>
    <w:rsid w:val="001A792A"/>
    <w:rsid w:val="001B75CF"/>
    <w:rsid w:val="001C4359"/>
    <w:rsid w:val="001C6793"/>
    <w:rsid w:val="001D0402"/>
    <w:rsid w:val="001D37A2"/>
    <w:rsid w:val="001E3F68"/>
    <w:rsid w:val="001F61A6"/>
    <w:rsid w:val="00200888"/>
    <w:rsid w:val="002228B5"/>
    <w:rsid w:val="002241DA"/>
    <w:rsid w:val="00230639"/>
    <w:rsid w:val="00230D7A"/>
    <w:rsid w:val="00241236"/>
    <w:rsid w:val="00243E60"/>
    <w:rsid w:val="002563D4"/>
    <w:rsid w:val="00257424"/>
    <w:rsid w:val="0027158B"/>
    <w:rsid w:val="002779D5"/>
    <w:rsid w:val="00290BCA"/>
    <w:rsid w:val="002A3C74"/>
    <w:rsid w:val="002A78AD"/>
    <w:rsid w:val="002C7652"/>
    <w:rsid w:val="002D037B"/>
    <w:rsid w:val="002D2CB0"/>
    <w:rsid w:val="002D667A"/>
    <w:rsid w:val="002E0A35"/>
    <w:rsid w:val="002E144E"/>
    <w:rsid w:val="002F37B3"/>
    <w:rsid w:val="002F49A0"/>
    <w:rsid w:val="003104E7"/>
    <w:rsid w:val="00325A43"/>
    <w:rsid w:val="00331FF9"/>
    <w:rsid w:val="0033398B"/>
    <w:rsid w:val="0034296B"/>
    <w:rsid w:val="00342A8A"/>
    <w:rsid w:val="00342EB4"/>
    <w:rsid w:val="0034617B"/>
    <w:rsid w:val="00350103"/>
    <w:rsid w:val="00353E84"/>
    <w:rsid w:val="00363C1A"/>
    <w:rsid w:val="00371702"/>
    <w:rsid w:val="00371790"/>
    <w:rsid w:val="003727AF"/>
    <w:rsid w:val="00375763"/>
    <w:rsid w:val="00375D7B"/>
    <w:rsid w:val="00382267"/>
    <w:rsid w:val="003923C3"/>
    <w:rsid w:val="00392896"/>
    <w:rsid w:val="00392A33"/>
    <w:rsid w:val="003A192E"/>
    <w:rsid w:val="003A28FE"/>
    <w:rsid w:val="003A57E9"/>
    <w:rsid w:val="003B3EC2"/>
    <w:rsid w:val="003D562C"/>
    <w:rsid w:val="003D6179"/>
    <w:rsid w:val="003E3D0D"/>
    <w:rsid w:val="003E7530"/>
    <w:rsid w:val="0040170D"/>
    <w:rsid w:val="00413321"/>
    <w:rsid w:val="00415845"/>
    <w:rsid w:val="0042022D"/>
    <w:rsid w:val="00427911"/>
    <w:rsid w:val="004512F6"/>
    <w:rsid w:val="004542FC"/>
    <w:rsid w:val="00454894"/>
    <w:rsid w:val="0046370D"/>
    <w:rsid w:val="004649C5"/>
    <w:rsid w:val="00465C70"/>
    <w:rsid w:val="004814F5"/>
    <w:rsid w:val="00483703"/>
    <w:rsid w:val="00493ACC"/>
    <w:rsid w:val="004959C6"/>
    <w:rsid w:val="00497B64"/>
    <w:rsid w:val="004A34E2"/>
    <w:rsid w:val="004A72C4"/>
    <w:rsid w:val="004B03D2"/>
    <w:rsid w:val="004C23CA"/>
    <w:rsid w:val="004C49A3"/>
    <w:rsid w:val="004E042D"/>
    <w:rsid w:val="0051137E"/>
    <w:rsid w:val="00513B23"/>
    <w:rsid w:val="00520526"/>
    <w:rsid w:val="0053457F"/>
    <w:rsid w:val="00535FCD"/>
    <w:rsid w:val="005471BA"/>
    <w:rsid w:val="00547C01"/>
    <w:rsid w:val="005544CC"/>
    <w:rsid w:val="00556762"/>
    <w:rsid w:val="00557932"/>
    <w:rsid w:val="00557EEE"/>
    <w:rsid w:val="005651F5"/>
    <w:rsid w:val="005707AE"/>
    <w:rsid w:val="0057149B"/>
    <w:rsid w:val="00585043"/>
    <w:rsid w:val="00590A5E"/>
    <w:rsid w:val="00594A34"/>
    <w:rsid w:val="005A30DF"/>
    <w:rsid w:val="005D46BD"/>
    <w:rsid w:val="005E3B1B"/>
    <w:rsid w:val="005F100E"/>
    <w:rsid w:val="005F3200"/>
    <w:rsid w:val="006023AC"/>
    <w:rsid w:val="00604C68"/>
    <w:rsid w:val="00604EA1"/>
    <w:rsid w:val="0061480F"/>
    <w:rsid w:val="006272C4"/>
    <w:rsid w:val="0065511E"/>
    <w:rsid w:val="0067140B"/>
    <w:rsid w:val="0069608E"/>
    <w:rsid w:val="006A02E8"/>
    <w:rsid w:val="006C75C7"/>
    <w:rsid w:val="006D2010"/>
    <w:rsid w:val="006D7299"/>
    <w:rsid w:val="006E6619"/>
    <w:rsid w:val="006F2879"/>
    <w:rsid w:val="006F5E1D"/>
    <w:rsid w:val="006F6EA3"/>
    <w:rsid w:val="00702B0B"/>
    <w:rsid w:val="00703250"/>
    <w:rsid w:val="0071023B"/>
    <w:rsid w:val="00714BE8"/>
    <w:rsid w:val="007157F4"/>
    <w:rsid w:val="00733E6B"/>
    <w:rsid w:val="007442D6"/>
    <w:rsid w:val="00744B02"/>
    <w:rsid w:val="00744FE8"/>
    <w:rsid w:val="00747D49"/>
    <w:rsid w:val="00751408"/>
    <w:rsid w:val="00754CD6"/>
    <w:rsid w:val="007603F1"/>
    <w:rsid w:val="007658B6"/>
    <w:rsid w:val="00785E9F"/>
    <w:rsid w:val="0079055B"/>
    <w:rsid w:val="00793766"/>
    <w:rsid w:val="00794463"/>
    <w:rsid w:val="007B380C"/>
    <w:rsid w:val="007C2B72"/>
    <w:rsid w:val="007C3278"/>
    <w:rsid w:val="007D5F08"/>
    <w:rsid w:val="007D747F"/>
    <w:rsid w:val="007E01BD"/>
    <w:rsid w:val="007E2846"/>
    <w:rsid w:val="007E29AB"/>
    <w:rsid w:val="007E3D19"/>
    <w:rsid w:val="007F3F85"/>
    <w:rsid w:val="00801E03"/>
    <w:rsid w:val="0080509D"/>
    <w:rsid w:val="00814F3A"/>
    <w:rsid w:val="0084778B"/>
    <w:rsid w:val="0086461C"/>
    <w:rsid w:val="00866B17"/>
    <w:rsid w:val="00887D61"/>
    <w:rsid w:val="008A060A"/>
    <w:rsid w:val="008A465E"/>
    <w:rsid w:val="008B2420"/>
    <w:rsid w:val="008B5C4F"/>
    <w:rsid w:val="008D57CA"/>
    <w:rsid w:val="008E1164"/>
    <w:rsid w:val="008F26D1"/>
    <w:rsid w:val="009006BB"/>
    <w:rsid w:val="00915062"/>
    <w:rsid w:val="00926C70"/>
    <w:rsid w:val="00931220"/>
    <w:rsid w:val="00931E3C"/>
    <w:rsid w:val="00956C5F"/>
    <w:rsid w:val="00964F2E"/>
    <w:rsid w:val="00970886"/>
    <w:rsid w:val="00972745"/>
    <w:rsid w:val="00973D92"/>
    <w:rsid w:val="00974E55"/>
    <w:rsid w:val="009A210E"/>
    <w:rsid w:val="009A3D10"/>
    <w:rsid w:val="009A7679"/>
    <w:rsid w:val="009B6CF0"/>
    <w:rsid w:val="009B720B"/>
    <w:rsid w:val="009C1CCB"/>
    <w:rsid w:val="009D2D61"/>
    <w:rsid w:val="009D3F6C"/>
    <w:rsid w:val="009E57E6"/>
    <w:rsid w:val="00A00241"/>
    <w:rsid w:val="00A03976"/>
    <w:rsid w:val="00A04DE0"/>
    <w:rsid w:val="00A1366B"/>
    <w:rsid w:val="00A15491"/>
    <w:rsid w:val="00A15BFC"/>
    <w:rsid w:val="00A2068B"/>
    <w:rsid w:val="00A229F3"/>
    <w:rsid w:val="00A2310F"/>
    <w:rsid w:val="00A3676E"/>
    <w:rsid w:val="00A44E5D"/>
    <w:rsid w:val="00A51299"/>
    <w:rsid w:val="00A51A17"/>
    <w:rsid w:val="00A55346"/>
    <w:rsid w:val="00A5769A"/>
    <w:rsid w:val="00A71A70"/>
    <w:rsid w:val="00A750B1"/>
    <w:rsid w:val="00A82B48"/>
    <w:rsid w:val="00A97B03"/>
    <w:rsid w:val="00AA34FD"/>
    <w:rsid w:val="00AB3D3E"/>
    <w:rsid w:val="00AB44C5"/>
    <w:rsid w:val="00AB478B"/>
    <w:rsid w:val="00AD5466"/>
    <w:rsid w:val="00AE01D0"/>
    <w:rsid w:val="00AE102E"/>
    <w:rsid w:val="00B039E3"/>
    <w:rsid w:val="00B042B0"/>
    <w:rsid w:val="00B07E3C"/>
    <w:rsid w:val="00B17C06"/>
    <w:rsid w:val="00B20C2C"/>
    <w:rsid w:val="00B23806"/>
    <w:rsid w:val="00B26590"/>
    <w:rsid w:val="00B31F2A"/>
    <w:rsid w:val="00B42089"/>
    <w:rsid w:val="00B46EBF"/>
    <w:rsid w:val="00B507DA"/>
    <w:rsid w:val="00B56FB3"/>
    <w:rsid w:val="00B61A25"/>
    <w:rsid w:val="00B715E0"/>
    <w:rsid w:val="00B806B9"/>
    <w:rsid w:val="00B94382"/>
    <w:rsid w:val="00BA6047"/>
    <w:rsid w:val="00BA6E98"/>
    <w:rsid w:val="00BC3DB8"/>
    <w:rsid w:val="00BE7C90"/>
    <w:rsid w:val="00BE7C9A"/>
    <w:rsid w:val="00C032A8"/>
    <w:rsid w:val="00C10253"/>
    <w:rsid w:val="00C110AB"/>
    <w:rsid w:val="00C32477"/>
    <w:rsid w:val="00C32728"/>
    <w:rsid w:val="00C35570"/>
    <w:rsid w:val="00C50C9A"/>
    <w:rsid w:val="00C57ADF"/>
    <w:rsid w:val="00C629F3"/>
    <w:rsid w:val="00C63107"/>
    <w:rsid w:val="00C64736"/>
    <w:rsid w:val="00C64DB8"/>
    <w:rsid w:val="00C66E54"/>
    <w:rsid w:val="00CB6311"/>
    <w:rsid w:val="00CB7C0B"/>
    <w:rsid w:val="00CC547F"/>
    <w:rsid w:val="00CC6018"/>
    <w:rsid w:val="00CE2FF2"/>
    <w:rsid w:val="00CF3B7D"/>
    <w:rsid w:val="00CF60F4"/>
    <w:rsid w:val="00CF7EBC"/>
    <w:rsid w:val="00D07421"/>
    <w:rsid w:val="00D13895"/>
    <w:rsid w:val="00D1602E"/>
    <w:rsid w:val="00D21480"/>
    <w:rsid w:val="00D21777"/>
    <w:rsid w:val="00D243D9"/>
    <w:rsid w:val="00D279BB"/>
    <w:rsid w:val="00D40348"/>
    <w:rsid w:val="00D41953"/>
    <w:rsid w:val="00D42ECC"/>
    <w:rsid w:val="00D43117"/>
    <w:rsid w:val="00D441FF"/>
    <w:rsid w:val="00D502EC"/>
    <w:rsid w:val="00D51D84"/>
    <w:rsid w:val="00D5754E"/>
    <w:rsid w:val="00D708AA"/>
    <w:rsid w:val="00D874DB"/>
    <w:rsid w:val="00D91DF5"/>
    <w:rsid w:val="00D94064"/>
    <w:rsid w:val="00D94C96"/>
    <w:rsid w:val="00D9786F"/>
    <w:rsid w:val="00D97BC9"/>
    <w:rsid w:val="00DA5388"/>
    <w:rsid w:val="00DA72E9"/>
    <w:rsid w:val="00DB6096"/>
    <w:rsid w:val="00DB73FF"/>
    <w:rsid w:val="00DC0EAD"/>
    <w:rsid w:val="00DC1926"/>
    <w:rsid w:val="00DD0E77"/>
    <w:rsid w:val="00DD5030"/>
    <w:rsid w:val="00DD5280"/>
    <w:rsid w:val="00DD7EC8"/>
    <w:rsid w:val="00DE4575"/>
    <w:rsid w:val="00E26530"/>
    <w:rsid w:val="00E34398"/>
    <w:rsid w:val="00E42DDC"/>
    <w:rsid w:val="00E42EA9"/>
    <w:rsid w:val="00E441A9"/>
    <w:rsid w:val="00E62909"/>
    <w:rsid w:val="00E634BB"/>
    <w:rsid w:val="00E640BE"/>
    <w:rsid w:val="00E7150B"/>
    <w:rsid w:val="00E76FF5"/>
    <w:rsid w:val="00E81D00"/>
    <w:rsid w:val="00E8429D"/>
    <w:rsid w:val="00EA12E1"/>
    <w:rsid w:val="00EA2CC2"/>
    <w:rsid w:val="00EA3B5A"/>
    <w:rsid w:val="00EB17E6"/>
    <w:rsid w:val="00EB35C5"/>
    <w:rsid w:val="00EC343F"/>
    <w:rsid w:val="00ED5031"/>
    <w:rsid w:val="00ED5E8E"/>
    <w:rsid w:val="00ED6621"/>
    <w:rsid w:val="00EE5027"/>
    <w:rsid w:val="00EE73F6"/>
    <w:rsid w:val="00EF3C9A"/>
    <w:rsid w:val="00F00B5E"/>
    <w:rsid w:val="00F0116F"/>
    <w:rsid w:val="00F17160"/>
    <w:rsid w:val="00F226C8"/>
    <w:rsid w:val="00F254C6"/>
    <w:rsid w:val="00F31262"/>
    <w:rsid w:val="00F374FB"/>
    <w:rsid w:val="00F405B4"/>
    <w:rsid w:val="00F56A95"/>
    <w:rsid w:val="00F572AF"/>
    <w:rsid w:val="00F606C8"/>
    <w:rsid w:val="00F83D38"/>
    <w:rsid w:val="00FA7DA5"/>
    <w:rsid w:val="00FB3BF2"/>
    <w:rsid w:val="00FC0AE3"/>
    <w:rsid w:val="00FD122E"/>
    <w:rsid w:val="00FF0DC5"/>
    <w:rsid w:val="00FF2F66"/>
    <w:rsid w:val="00F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4ABB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7EC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B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BCA"/>
  </w:style>
  <w:style w:type="paragraph" w:styleId="Footer">
    <w:name w:val="footer"/>
    <w:basedOn w:val="Normal"/>
    <w:link w:val="Foot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BCA"/>
  </w:style>
  <w:style w:type="paragraph" w:styleId="ListParagraph">
    <w:name w:val="List Paragraph"/>
    <w:basedOn w:val="Normal"/>
    <w:uiPriority w:val="34"/>
    <w:qFormat/>
    <w:rsid w:val="0079376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3247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3247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7EC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DD7EC8"/>
  </w:style>
  <w:style w:type="paragraph" w:customStyle="1" w:styleId="Level1">
    <w:name w:val="Level 1"/>
    <w:basedOn w:val="ListParagraph"/>
    <w:qFormat/>
    <w:rsid w:val="00ED5031"/>
    <w:pPr>
      <w:numPr>
        <w:numId w:val="7"/>
      </w:numPr>
      <w:spacing w:after="120" w:line="276" w:lineRule="auto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Level2">
    <w:name w:val="Level 2"/>
    <w:basedOn w:val="ListParagraph"/>
    <w:qFormat/>
    <w:rsid w:val="00ED5031"/>
    <w:pPr>
      <w:numPr>
        <w:ilvl w:val="1"/>
        <w:numId w:val="7"/>
      </w:numPr>
      <w:tabs>
        <w:tab w:val="left" w:pos="1080"/>
      </w:tabs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evel3">
    <w:name w:val="Level 3"/>
    <w:basedOn w:val="Level2"/>
    <w:link w:val="Level3Char"/>
    <w:qFormat/>
    <w:rsid w:val="00ED5031"/>
    <w:pPr>
      <w:numPr>
        <w:ilvl w:val="2"/>
      </w:numPr>
    </w:pPr>
  </w:style>
  <w:style w:type="character" w:customStyle="1" w:styleId="Level3Char">
    <w:name w:val="Level 3 Char"/>
    <w:link w:val="Level3"/>
    <w:locked/>
    <w:rsid w:val="00ED5031"/>
    <w:rPr>
      <w:rFonts w:ascii="Times New Roman" w:eastAsia="Calibri" w:hAnsi="Times New Roman" w:cs="Times New Roman"/>
      <w:sz w:val="24"/>
      <w:szCs w:val="24"/>
    </w:rPr>
  </w:style>
  <w:style w:type="paragraph" w:customStyle="1" w:styleId="Level4">
    <w:name w:val="Level 4"/>
    <w:basedOn w:val="Level3"/>
    <w:qFormat/>
    <w:rsid w:val="00ED5031"/>
    <w:pPr>
      <w:numPr>
        <w:ilvl w:val="3"/>
      </w:numPr>
      <w:tabs>
        <w:tab w:val="num" w:pos="3240"/>
      </w:tabs>
      <w:ind w:left="3240" w:hanging="360"/>
    </w:pPr>
  </w:style>
  <w:style w:type="paragraph" w:customStyle="1" w:styleId="Default">
    <w:name w:val="Default"/>
    <w:rsid w:val="00B715E0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7EC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B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BCA"/>
  </w:style>
  <w:style w:type="paragraph" w:styleId="Footer">
    <w:name w:val="footer"/>
    <w:basedOn w:val="Normal"/>
    <w:link w:val="Foot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BCA"/>
  </w:style>
  <w:style w:type="paragraph" w:styleId="ListParagraph">
    <w:name w:val="List Paragraph"/>
    <w:basedOn w:val="Normal"/>
    <w:uiPriority w:val="34"/>
    <w:qFormat/>
    <w:rsid w:val="0079376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3247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3247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7EC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DD7EC8"/>
  </w:style>
  <w:style w:type="paragraph" w:customStyle="1" w:styleId="Level1">
    <w:name w:val="Level 1"/>
    <w:basedOn w:val="ListParagraph"/>
    <w:qFormat/>
    <w:rsid w:val="00ED5031"/>
    <w:pPr>
      <w:numPr>
        <w:numId w:val="7"/>
      </w:numPr>
      <w:spacing w:after="120" w:line="276" w:lineRule="auto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Level2">
    <w:name w:val="Level 2"/>
    <w:basedOn w:val="ListParagraph"/>
    <w:qFormat/>
    <w:rsid w:val="00ED5031"/>
    <w:pPr>
      <w:numPr>
        <w:ilvl w:val="1"/>
        <w:numId w:val="7"/>
      </w:numPr>
      <w:tabs>
        <w:tab w:val="left" w:pos="1080"/>
      </w:tabs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evel3">
    <w:name w:val="Level 3"/>
    <w:basedOn w:val="Level2"/>
    <w:link w:val="Level3Char"/>
    <w:qFormat/>
    <w:rsid w:val="00ED5031"/>
    <w:pPr>
      <w:numPr>
        <w:ilvl w:val="2"/>
      </w:numPr>
    </w:pPr>
  </w:style>
  <w:style w:type="character" w:customStyle="1" w:styleId="Level3Char">
    <w:name w:val="Level 3 Char"/>
    <w:link w:val="Level3"/>
    <w:locked/>
    <w:rsid w:val="00ED5031"/>
    <w:rPr>
      <w:rFonts w:ascii="Times New Roman" w:eastAsia="Calibri" w:hAnsi="Times New Roman" w:cs="Times New Roman"/>
      <w:sz w:val="24"/>
      <w:szCs w:val="24"/>
    </w:rPr>
  </w:style>
  <w:style w:type="paragraph" w:customStyle="1" w:styleId="Level4">
    <w:name w:val="Level 4"/>
    <w:basedOn w:val="Level3"/>
    <w:qFormat/>
    <w:rsid w:val="00ED5031"/>
    <w:pPr>
      <w:numPr>
        <w:ilvl w:val="3"/>
      </w:numPr>
      <w:tabs>
        <w:tab w:val="num" w:pos="3240"/>
      </w:tabs>
      <w:ind w:left="3240" w:hanging="360"/>
    </w:pPr>
  </w:style>
  <w:style w:type="paragraph" w:customStyle="1" w:styleId="Default">
    <w:name w:val="Default"/>
    <w:rsid w:val="00B715E0"/>
    <w:pPr>
      <w:widowControl w:val="0"/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diagramColors" Target="diagrams/colors1.xml"/><Relationship Id="rId12" Type="http://schemas.microsoft.com/office/2007/relationships/diagramDrawing" Target="diagrams/drawing1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diagramData" Target="diagrams/data1.xml"/><Relationship Id="rId9" Type="http://schemas.openxmlformats.org/officeDocument/2006/relationships/diagramLayout" Target="diagrams/layout1.xml"/><Relationship Id="rId10" Type="http://schemas.openxmlformats.org/officeDocument/2006/relationships/diagramQuickStyle" Target="diagrams/quickStyl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154755A-ADCF-244B-8203-3F2770737C02}" type="doc">
      <dgm:prSet loTypeId="urn:microsoft.com/office/officeart/2005/8/layout/process1" loCatId="" qsTypeId="urn:microsoft.com/office/officeart/2005/8/quickstyle/simple4" qsCatId="simple" csTypeId="urn:microsoft.com/office/officeart/2005/8/colors/accent3_2" csCatId="accent3" phldr="1"/>
      <dgm:spPr/>
    </dgm:pt>
    <dgm:pt modelId="{71A9D001-F7F5-364F-8633-68F954F87F65}">
      <dgm:prSet phldrT="[Text]"/>
      <dgm:spPr/>
      <dgm:t>
        <a:bodyPr/>
        <a:lstStyle/>
        <a:p>
          <a:r>
            <a:rPr lang="en-US"/>
            <a:t>Incident</a:t>
          </a:r>
        </a:p>
      </dgm:t>
    </dgm:pt>
    <dgm:pt modelId="{CA485CC5-A037-C843-B4A6-9F16BE207FBC}" type="parTrans" cxnId="{3979F982-35DF-F24F-9C6E-07BC57FD2F7A}">
      <dgm:prSet/>
      <dgm:spPr/>
      <dgm:t>
        <a:bodyPr/>
        <a:lstStyle/>
        <a:p>
          <a:endParaRPr lang="en-US"/>
        </a:p>
      </dgm:t>
    </dgm:pt>
    <dgm:pt modelId="{F2435815-2B6A-A84F-9BF2-92EE5988A872}" type="sibTrans" cxnId="{3979F982-35DF-F24F-9C6E-07BC57FD2F7A}">
      <dgm:prSet/>
      <dgm:spPr/>
      <dgm:t>
        <a:bodyPr/>
        <a:lstStyle/>
        <a:p>
          <a:endParaRPr lang="en-US"/>
        </a:p>
      </dgm:t>
    </dgm:pt>
    <dgm:pt modelId="{DD2458A3-CABD-3B46-BEA4-B0D34E66FF84}">
      <dgm:prSet phldrT="[Text]"/>
      <dgm:spPr/>
      <dgm:t>
        <a:bodyPr/>
        <a:lstStyle/>
        <a:p>
          <a:r>
            <a:rPr lang="en-US"/>
            <a:t>Immediate Causes</a:t>
          </a:r>
        </a:p>
      </dgm:t>
    </dgm:pt>
    <dgm:pt modelId="{5AD0E93E-0155-2B43-B6CD-16D49759A34A}" type="parTrans" cxnId="{4D811D14-C81C-294F-AC36-202F48A4E0F3}">
      <dgm:prSet/>
      <dgm:spPr/>
      <dgm:t>
        <a:bodyPr/>
        <a:lstStyle/>
        <a:p>
          <a:endParaRPr lang="en-US"/>
        </a:p>
      </dgm:t>
    </dgm:pt>
    <dgm:pt modelId="{9AF4CB25-D23F-6240-8482-9B4EBED3A048}" type="sibTrans" cxnId="{4D811D14-C81C-294F-AC36-202F48A4E0F3}">
      <dgm:prSet/>
      <dgm:spPr/>
      <dgm:t>
        <a:bodyPr/>
        <a:lstStyle/>
        <a:p>
          <a:endParaRPr lang="en-US"/>
        </a:p>
      </dgm:t>
    </dgm:pt>
    <dgm:pt modelId="{0A037265-2F09-204D-A1D2-B44C62360E1D}">
      <dgm:prSet phldrT="[Text]"/>
      <dgm:spPr/>
      <dgm:t>
        <a:bodyPr/>
        <a:lstStyle/>
        <a:p>
          <a:r>
            <a:rPr lang="en-US"/>
            <a:t>Basic  Causes</a:t>
          </a:r>
        </a:p>
      </dgm:t>
    </dgm:pt>
    <dgm:pt modelId="{703219CF-7D68-5A41-98B9-3102AB5BBB9C}" type="parTrans" cxnId="{FC128A20-29AC-1C44-9EC5-99CC1BB5B3DB}">
      <dgm:prSet/>
      <dgm:spPr/>
      <dgm:t>
        <a:bodyPr/>
        <a:lstStyle/>
        <a:p>
          <a:endParaRPr lang="en-US"/>
        </a:p>
      </dgm:t>
    </dgm:pt>
    <dgm:pt modelId="{34A1BFC0-5C42-294C-839A-DB009D94091D}" type="sibTrans" cxnId="{FC128A20-29AC-1C44-9EC5-99CC1BB5B3DB}">
      <dgm:prSet/>
      <dgm:spPr/>
      <dgm:t>
        <a:bodyPr/>
        <a:lstStyle/>
        <a:p>
          <a:endParaRPr lang="en-US"/>
        </a:p>
      </dgm:t>
    </dgm:pt>
    <dgm:pt modelId="{DD41C30F-3DA0-9A42-8838-C0768ACA84D4}">
      <dgm:prSet phldrT="[Text]"/>
      <dgm:spPr/>
      <dgm:t>
        <a:bodyPr/>
        <a:lstStyle/>
        <a:p>
          <a:r>
            <a:rPr lang="en-US"/>
            <a:t>Loss</a:t>
          </a:r>
        </a:p>
      </dgm:t>
    </dgm:pt>
    <dgm:pt modelId="{6652AEEF-6DA1-C943-87A7-73F6F0FAE172}" type="parTrans" cxnId="{959D3F71-F172-EA4B-8007-C4C9640F8F48}">
      <dgm:prSet/>
      <dgm:spPr/>
      <dgm:t>
        <a:bodyPr/>
        <a:lstStyle/>
        <a:p>
          <a:endParaRPr lang="en-US"/>
        </a:p>
      </dgm:t>
    </dgm:pt>
    <dgm:pt modelId="{A478A824-D6DB-8442-A6D5-F43AA7C2538C}" type="sibTrans" cxnId="{959D3F71-F172-EA4B-8007-C4C9640F8F48}">
      <dgm:prSet/>
      <dgm:spPr/>
      <dgm:t>
        <a:bodyPr/>
        <a:lstStyle/>
        <a:p>
          <a:endParaRPr lang="en-US"/>
        </a:p>
      </dgm:t>
    </dgm:pt>
    <dgm:pt modelId="{2E4931D8-758A-FC47-9DF0-465B077A9577}">
      <dgm:prSet phldrT="[Text]"/>
      <dgm:spPr/>
      <dgm:t>
        <a:bodyPr/>
        <a:lstStyle/>
        <a:p>
          <a:r>
            <a:rPr lang="en-US"/>
            <a:t>Lack of Control</a:t>
          </a:r>
        </a:p>
      </dgm:t>
    </dgm:pt>
    <dgm:pt modelId="{EBB9E04C-8853-D749-89D1-C4E4690C4F4C}" type="parTrans" cxnId="{BB03BE41-52C8-6247-910A-79A561F3D9C8}">
      <dgm:prSet/>
      <dgm:spPr/>
      <dgm:t>
        <a:bodyPr/>
        <a:lstStyle/>
        <a:p>
          <a:endParaRPr lang="en-US"/>
        </a:p>
      </dgm:t>
    </dgm:pt>
    <dgm:pt modelId="{8584E538-0213-DC47-809D-6434A353216F}" type="sibTrans" cxnId="{BB03BE41-52C8-6247-910A-79A561F3D9C8}">
      <dgm:prSet/>
      <dgm:spPr/>
      <dgm:t>
        <a:bodyPr/>
        <a:lstStyle/>
        <a:p>
          <a:endParaRPr lang="en-US"/>
        </a:p>
      </dgm:t>
    </dgm:pt>
    <dgm:pt modelId="{013D1E46-BBC2-AE4E-9407-604A1FE79CBD}" type="pres">
      <dgm:prSet presAssocID="{E154755A-ADCF-244B-8203-3F2770737C02}" presName="Name0" presStyleCnt="0">
        <dgm:presLayoutVars>
          <dgm:dir/>
          <dgm:resizeHandles val="exact"/>
        </dgm:presLayoutVars>
      </dgm:prSet>
      <dgm:spPr/>
    </dgm:pt>
    <dgm:pt modelId="{BFD08A67-97EB-3E40-9DE2-4974873E3319}" type="pres">
      <dgm:prSet presAssocID="{DD41C30F-3DA0-9A42-8838-C0768ACA84D4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BAEE70E-A2C1-034A-B8F0-4E814F2510A9}" type="pres">
      <dgm:prSet presAssocID="{A478A824-D6DB-8442-A6D5-F43AA7C2538C}" presName="sibTrans" presStyleLbl="sibTrans2D1" presStyleIdx="0" presStyleCnt="4"/>
      <dgm:spPr/>
      <dgm:t>
        <a:bodyPr/>
        <a:lstStyle/>
        <a:p>
          <a:endParaRPr lang="en-US"/>
        </a:p>
      </dgm:t>
    </dgm:pt>
    <dgm:pt modelId="{5F94699D-F02C-AB41-8880-AEE64D17AE92}" type="pres">
      <dgm:prSet presAssocID="{A478A824-D6DB-8442-A6D5-F43AA7C2538C}" presName="connectorText" presStyleLbl="sibTrans2D1" presStyleIdx="0" presStyleCnt="4"/>
      <dgm:spPr/>
      <dgm:t>
        <a:bodyPr/>
        <a:lstStyle/>
        <a:p>
          <a:endParaRPr lang="en-US"/>
        </a:p>
      </dgm:t>
    </dgm:pt>
    <dgm:pt modelId="{46AE442B-B3CE-E049-B17F-CC456D982911}" type="pres">
      <dgm:prSet presAssocID="{71A9D001-F7F5-364F-8633-68F954F87F65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EB60F16-CFF8-8B40-BE16-938F40E8E183}" type="pres">
      <dgm:prSet presAssocID="{F2435815-2B6A-A84F-9BF2-92EE5988A872}" presName="sibTrans" presStyleLbl="sibTrans2D1" presStyleIdx="1" presStyleCnt="4"/>
      <dgm:spPr/>
      <dgm:t>
        <a:bodyPr/>
        <a:lstStyle/>
        <a:p>
          <a:endParaRPr lang="en-US"/>
        </a:p>
      </dgm:t>
    </dgm:pt>
    <dgm:pt modelId="{86BDE777-C522-A146-94D3-2623AA0023F7}" type="pres">
      <dgm:prSet presAssocID="{F2435815-2B6A-A84F-9BF2-92EE5988A872}" presName="connectorText" presStyleLbl="sibTrans2D1" presStyleIdx="1" presStyleCnt="4"/>
      <dgm:spPr/>
      <dgm:t>
        <a:bodyPr/>
        <a:lstStyle/>
        <a:p>
          <a:endParaRPr lang="en-US"/>
        </a:p>
      </dgm:t>
    </dgm:pt>
    <dgm:pt modelId="{C97A8AEE-0191-8E42-8265-2E8A18982673}" type="pres">
      <dgm:prSet presAssocID="{DD2458A3-CABD-3B46-BEA4-B0D34E66FF84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8A1550B-8B91-0E4C-959D-FA61671CEFF1}" type="pres">
      <dgm:prSet presAssocID="{9AF4CB25-D23F-6240-8482-9B4EBED3A048}" presName="sibTrans" presStyleLbl="sibTrans2D1" presStyleIdx="2" presStyleCnt="4"/>
      <dgm:spPr/>
      <dgm:t>
        <a:bodyPr/>
        <a:lstStyle/>
        <a:p>
          <a:endParaRPr lang="en-US"/>
        </a:p>
      </dgm:t>
    </dgm:pt>
    <dgm:pt modelId="{E9F36F0C-AEA5-0743-ADFE-4EBECB81D29F}" type="pres">
      <dgm:prSet presAssocID="{9AF4CB25-D23F-6240-8482-9B4EBED3A048}" presName="connectorText" presStyleLbl="sibTrans2D1" presStyleIdx="2" presStyleCnt="4"/>
      <dgm:spPr/>
      <dgm:t>
        <a:bodyPr/>
        <a:lstStyle/>
        <a:p>
          <a:endParaRPr lang="en-US"/>
        </a:p>
      </dgm:t>
    </dgm:pt>
    <dgm:pt modelId="{03DA1306-1A92-0049-85C2-59EC7D1A2708}" type="pres">
      <dgm:prSet presAssocID="{0A037265-2F09-204D-A1D2-B44C62360E1D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ADCE7A6-2FB0-E949-8741-E87873F84D5C}" type="pres">
      <dgm:prSet presAssocID="{34A1BFC0-5C42-294C-839A-DB009D94091D}" presName="sibTrans" presStyleLbl="sibTrans2D1" presStyleIdx="3" presStyleCnt="4"/>
      <dgm:spPr/>
      <dgm:t>
        <a:bodyPr/>
        <a:lstStyle/>
        <a:p>
          <a:endParaRPr lang="en-US"/>
        </a:p>
      </dgm:t>
    </dgm:pt>
    <dgm:pt modelId="{4895734E-FB6A-D84D-882A-3C1D9453A371}" type="pres">
      <dgm:prSet presAssocID="{34A1BFC0-5C42-294C-839A-DB009D94091D}" presName="connectorText" presStyleLbl="sibTrans2D1" presStyleIdx="3" presStyleCnt="4"/>
      <dgm:spPr/>
      <dgm:t>
        <a:bodyPr/>
        <a:lstStyle/>
        <a:p>
          <a:endParaRPr lang="en-US"/>
        </a:p>
      </dgm:t>
    </dgm:pt>
    <dgm:pt modelId="{ACC945A1-689E-8641-B007-4F1A6131F3B4}" type="pres">
      <dgm:prSet presAssocID="{2E4931D8-758A-FC47-9DF0-465B077A9577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3AE80B7-DF9E-2840-9590-2FDBA449B69E}" type="presOf" srcId="{DD41C30F-3DA0-9A42-8838-C0768ACA84D4}" destId="{BFD08A67-97EB-3E40-9DE2-4974873E3319}" srcOrd="0" destOrd="0" presId="urn:microsoft.com/office/officeart/2005/8/layout/process1"/>
    <dgm:cxn modelId="{B324002A-6997-6441-ACCC-BDC5D565AE46}" type="presOf" srcId="{34A1BFC0-5C42-294C-839A-DB009D94091D}" destId="{6ADCE7A6-2FB0-E949-8741-E87873F84D5C}" srcOrd="0" destOrd="0" presId="urn:microsoft.com/office/officeart/2005/8/layout/process1"/>
    <dgm:cxn modelId="{2043A946-6D95-114B-90E1-BD45034F4756}" type="presOf" srcId="{9AF4CB25-D23F-6240-8482-9B4EBED3A048}" destId="{A8A1550B-8B91-0E4C-959D-FA61671CEFF1}" srcOrd="0" destOrd="0" presId="urn:microsoft.com/office/officeart/2005/8/layout/process1"/>
    <dgm:cxn modelId="{3979F982-35DF-F24F-9C6E-07BC57FD2F7A}" srcId="{E154755A-ADCF-244B-8203-3F2770737C02}" destId="{71A9D001-F7F5-364F-8633-68F954F87F65}" srcOrd="1" destOrd="0" parTransId="{CA485CC5-A037-C843-B4A6-9F16BE207FBC}" sibTransId="{F2435815-2B6A-A84F-9BF2-92EE5988A872}"/>
    <dgm:cxn modelId="{FC128A20-29AC-1C44-9EC5-99CC1BB5B3DB}" srcId="{E154755A-ADCF-244B-8203-3F2770737C02}" destId="{0A037265-2F09-204D-A1D2-B44C62360E1D}" srcOrd="3" destOrd="0" parTransId="{703219CF-7D68-5A41-98B9-3102AB5BBB9C}" sibTransId="{34A1BFC0-5C42-294C-839A-DB009D94091D}"/>
    <dgm:cxn modelId="{BB03BE41-52C8-6247-910A-79A561F3D9C8}" srcId="{E154755A-ADCF-244B-8203-3F2770737C02}" destId="{2E4931D8-758A-FC47-9DF0-465B077A9577}" srcOrd="4" destOrd="0" parTransId="{EBB9E04C-8853-D749-89D1-C4E4690C4F4C}" sibTransId="{8584E538-0213-DC47-809D-6434A353216F}"/>
    <dgm:cxn modelId="{E88EF08D-6C9D-024A-A3D1-49801D55C3C6}" type="presOf" srcId="{A478A824-D6DB-8442-A6D5-F43AA7C2538C}" destId="{EBAEE70E-A2C1-034A-B8F0-4E814F2510A9}" srcOrd="0" destOrd="0" presId="urn:microsoft.com/office/officeart/2005/8/layout/process1"/>
    <dgm:cxn modelId="{1338E78E-DE90-AE46-BB53-35021A1E2AB7}" type="presOf" srcId="{34A1BFC0-5C42-294C-839A-DB009D94091D}" destId="{4895734E-FB6A-D84D-882A-3C1D9453A371}" srcOrd="1" destOrd="0" presId="urn:microsoft.com/office/officeart/2005/8/layout/process1"/>
    <dgm:cxn modelId="{3C3B2F2F-F734-AF4A-8BBD-E9A34A046CC1}" type="presOf" srcId="{2E4931D8-758A-FC47-9DF0-465B077A9577}" destId="{ACC945A1-689E-8641-B007-4F1A6131F3B4}" srcOrd="0" destOrd="0" presId="urn:microsoft.com/office/officeart/2005/8/layout/process1"/>
    <dgm:cxn modelId="{78F36D2D-D259-6B47-8A43-54551E2BEA3F}" type="presOf" srcId="{DD2458A3-CABD-3B46-BEA4-B0D34E66FF84}" destId="{C97A8AEE-0191-8E42-8265-2E8A18982673}" srcOrd="0" destOrd="0" presId="urn:microsoft.com/office/officeart/2005/8/layout/process1"/>
    <dgm:cxn modelId="{B40C200C-1435-D940-A8AE-415363F58D57}" type="presOf" srcId="{F2435815-2B6A-A84F-9BF2-92EE5988A872}" destId="{86BDE777-C522-A146-94D3-2623AA0023F7}" srcOrd="1" destOrd="0" presId="urn:microsoft.com/office/officeart/2005/8/layout/process1"/>
    <dgm:cxn modelId="{D8C3431D-A935-1942-B645-59F5444032B5}" type="presOf" srcId="{A478A824-D6DB-8442-A6D5-F43AA7C2538C}" destId="{5F94699D-F02C-AB41-8880-AEE64D17AE92}" srcOrd="1" destOrd="0" presId="urn:microsoft.com/office/officeart/2005/8/layout/process1"/>
    <dgm:cxn modelId="{959D3F71-F172-EA4B-8007-C4C9640F8F48}" srcId="{E154755A-ADCF-244B-8203-3F2770737C02}" destId="{DD41C30F-3DA0-9A42-8838-C0768ACA84D4}" srcOrd="0" destOrd="0" parTransId="{6652AEEF-6DA1-C943-87A7-73F6F0FAE172}" sibTransId="{A478A824-D6DB-8442-A6D5-F43AA7C2538C}"/>
    <dgm:cxn modelId="{898D3D25-7933-7C4D-8C42-73B90E10594D}" type="presOf" srcId="{E154755A-ADCF-244B-8203-3F2770737C02}" destId="{013D1E46-BBC2-AE4E-9407-604A1FE79CBD}" srcOrd="0" destOrd="0" presId="urn:microsoft.com/office/officeart/2005/8/layout/process1"/>
    <dgm:cxn modelId="{4D811D14-C81C-294F-AC36-202F48A4E0F3}" srcId="{E154755A-ADCF-244B-8203-3F2770737C02}" destId="{DD2458A3-CABD-3B46-BEA4-B0D34E66FF84}" srcOrd="2" destOrd="0" parTransId="{5AD0E93E-0155-2B43-B6CD-16D49759A34A}" sibTransId="{9AF4CB25-D23F-6240-8482-9B4EBED3A048}"/>
    <dgm:cxn modelId="{CD5A0751-9C53-C147-A23F-64949EF96DE5}" type="presOf" srcId="{F2435815-2B6A-A84F-9BF2-92EE5988A872}" destId="{CEB60F16-CFF8-8B40-BE16-938F40E8E183}" srcOrd="0" destOrd="0" presId="urn:microsoft.com/office/officeart/2005/8/layout/process1"/>
    <dgm:cxn modelId="{16036712-E6B0-F449-A295-5A8BE063BB97}" type="presOf" srcId="{71A9D001-F7F5-364F-8633-68F954F87F65}" destId="{46AE442B-B3CE-E049-B17F-CC456D982911}" srcOrd="0" destOrd="0" presId="urn:microsoft.com/office/officeart/2005/8/layout/process1"/>
    <dgm:cxn modelId="{C2509EA9-34ED-B342-9661-61A824C693AB}" type="presOf" srcId="{0A037265-2F09-204D-A1D2-B44C62360E1D}" destId="{03DA1306-1A92-0049-85C2-59EC7D1A2708}" srcOrd="0" destOrd="0" presId="urn:microsoft.com/office/officeart/2005/8/layout/process1"/>
    <dgm:cxn modelId="{CFF688A8-D739-E648-9AC9-D76D9028D66C}" type="presOf" srcId="{9AF4CB25-D23F-6240-8482-9B4EBED3A048}" destId="{E9F36F0C-AEA5-0743-ADFE-4EBECB81D29F}" srcOrd="1" destOrd="0" presId="urn:microsoft.com/office/officeart/2005/8/layout/process1"/>
    <dgm:cxn modelId="{82422FFF-E61B-CC49-87AC-2482187813DC}" type="presParOf" srcId="{013D1E46-BBC2-AE4E-9407-604A1FE79CBD}" destId="{BFD08A67-97EB-3E40-9DE2-4974873E3319}" srcOrd="0" destOrd="0" presId="urn:microsoft.com/office/officeart/2005/8/layout/process1"/>
    <dgm:cxn modelId="{B089B92A-CB68-A249-A68C-3EFA8F9437E0}" type="presParOf" srcId="{013D1E46-BBC2-AE4E-9407-604A1FE79CBD}" destId="{EBAEE70E-A2C1-034A-B8F0-4E814F2510A9}" srcOrd="1" destOrd="0" presId="urn:microsoft.com/office/officeart/2005/8/layout/process1"/>
    <dgm:cxn modelId="{DBD6EF21-76CA-A044-BF57-B9015A8CE07C}" type="presParOf" srcId="{EBAEE70E-A2C1-034A-B8F0-4E814F2510A9}" destId="{5F94699D-F02C-AB41-8880-AEE64D17AE92}" srcOrd="0" destOrd="0" presId="urn:microsoft.com/office/officeart/2005/8/layout/process1"/>
    <dgm:cxn modelId="{B372948D-38D6-1A4A-BEA7-29C6522538F1}" type="presParOf" srcId="{013D1E46-BBC2-AE4E-9407-604A1FE79CBD}" destId="{46AE442B-B3CE-E049-B17F-CC456D982911}" srcOrd="2" destOrd="0" presId="urn:microsoft.com/office/officeart/2005/8/layout/process1"/>
    <dgm:cxn modelId="{8C53799A-E84B-ED43-999D-DBC3F71C7423}" type="presParOf" srcId="{013D1E46-BBC2-AE4E-9407-604A1FE79CBD}" destId="{CEB60F16-CFF8-8B40-BE16-938F40E8E183}" srcOrd="3" destOrd="0" presId="urn:microsoft.com/office/officeart/2005/8/layout/process1"/>
    <dgm:cxn modelId="{E4A65B05-43F1-8E45-AA19-1219A0FC8F5F}" type="presParOf" srcId="{CEB60F16-CFF8-8B40-BE16-938F40E8E183}" destId="{86BDE777-C522-A146-94D3-2623AA0023F7}" srcOrd="0" destOrd="0" presId="urn:microsoft.com/office/officeart/2005/8/layout/process1"/>
    <dgm:cxn modelId="{54FB4FA7-C9A7-944D-A995-61F7926885C5}" type="presParOf" srcId="{013D1E46-BBC2-AE4E-9407-604A1FE79CBD}" destId="{C97A8AEE-0191-8E42-8265-2E8A18982673}" srcOrd="4" destOrd="0" presId="urn:microsoft.com/office/officeart/2005/8/layout/process1"/>
    <dgm:cxn modelId="{3FB68BAA-F085-FD4B-88D2-0D1681118A38}" type="presParOf" srcId="{013D1E46-BBC2-AE4E-9407-604A1FE79CBD}" destId="{A8A1550B-8B91-0E4C-959D-FA61671CEFF1}" srcOrd="5" destOrd="0" presId="urn:microsoft.com/office/officeart/2005/8/layout/process1"/>
    <dgm:cxn modelId="{DF04A9DE-B3DA-DE48-83BD-5C402D26B3EC}" type="presParOf" srcId="{A8A1550B-8B91-0E4C-959D-FA61671CEFF1}" destId="{E9F36F0C-AEA5-0743-ADFE-4EBECB81D29F}" srcOrd="0" destOrd="0" presId="urn:microsoft.com/office/officeart/2005/8/layout/process1"/>
    <dgm:cxn modelId="{B81CD294-F77B-0642-A264-385AF96665AE}" type="presParOf" srcId="{013D1E46-BBC2-AE4E-9407-604A1FE79CBD}" destId="{03DA1306-1A92-0049-85C2-59EC7D1A2708}" srcOrd="6" destOrd="0" presId="urn:microsoft.com/office/officeart/2005/8/layout/process1"/>
    <dgm:cxn modelId="{7642FA4F-F838-4E46-AFEC-D498CF4488DD}" type="presParOf" srcId="{013D1E46-BBC2-AE4E-9407-604A1FE79CBD}" destId="{6ADCE7A6-2FB0-E949-8741-E87873F84D5C}" srcOrd="7" destOrd="0" presId="urn:microsoft.com/office/officeart/2005/8/layout/process1"/>
    <dgm:cxn modelId="{589A73BD-EC66-634A-AEF6-44F148081C24}" type="presParOf" srcId="{6ADCE7A6-2FB0-E949-8741-E87873F84D5C}" destId="{4895734E-FB6A-D84D-882A-3C1D9453A371}" srcOrd="0" destOrd="0" presId="urn:microsoft.com/office/officeart/2005/8/layout/process1"/>
    <dgm:cxn modelId="{1F7674EF-47EA-E64C-A126-3AA9CB5B7167}" type="presParOf" srcId="{013D1E46-BBC2-AE4E-9407-604A1FE79CBD}" destId="{ACC945A1-689E-8641-B007-4F1A6131F3B4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D08A67-97EB-3E40-9DE2-4974873E3319}">
      <dsp:nvSpPr>
        <dsp:cNvPr id="0" name=""/>
        <dsp:cNvSpPr/>
      </dsp:nvSpPr>
      <dsp:spPr>
        <a:xfrm>
          <a:off x="2523" y="19279"/>
          <a:ext cx="782401" cy="46944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Loss</a:t>
          </a:r>
        </a:p>
      </dsp:txBody>
      <dsp:txXfrm>
        <a:off x="16272" y="33028"/>
        <a:ext cx="754903" cy="441943"/>
      </dsp:txXfrm>
    </dsp:sp>
    <dsp:sp modelId="{EBAEE70E-A2C1-034A-B8F0-4E814F2510A9}">
      <dsp:nvSpPr>
        <dsp:cNvPr id="0" name=""/>
        <dsp:cNvSpPr/>
      </dsp:nvSpPr>
      <dsp:spPr>
        <a:xfrm>
          <a:off x="863165" y="156982"/>
          <a:ext cx="165869" cy="19403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863165" y="195789"/>
        <a:ext cx="116108" cy="116421"/>
      </dsp:txXfrm>
    </dsp:sp>
    <dsp:sp modelId="{46AE442B-B3CE-E049-B17F-CC456D982911}">
      <dsp:nvSpPr>
        <dsp:cNvPr id="0" name=""/>
        <dsp:cNvSpPr/>
      </dsp:nvSpPr>
      <dsp:spPr>
        <a:xfrm>
          <a:off x="1097886" y="19279"/>
          <a:ext cx="782401" cy="46944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Incident</a:t>
          </a:r>
        </a:p>
      </dsp:txBody>
      <dsp:txXfrm>
        <a:off x="1111635" y="33028"/>
        <a:ext cx="754903" cy="441943"/>
      </dsp:txXfrm>
    </dsp:sp>
    <dsp:sp modelId="{CEB60F16-CFF8-8B40-BE16-938F40E8E183}">
      <dsp:nvSpPr>
        <dsp:cNvPr id="0" name=""/>
        <dsp:cNvSpPr/>
      </dsp:nvSpPr>
      <dsp:spPr>
        <a:xfrm>
          <a:off x="1958528" y="156982"/>
          <a:ext cx="165869" cy="19403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1958528" y="195789"/>
        <a:ext cx="116108" cy="116421"/>
      </dsp:txXfrm>
    </dsp:sp>
    <dsp:sp modelId="{C97A8AEE-0191-8E42-8265-2E8A18982673}">
      <dsp:nvSpPr>
        <dsp:cNvPr id="0" name=""/>
        <dsp:cNvSpPr/>
      </dsp:nvSpPr>
      <dsp:spPr>
        <a:xfrm>
          <a:off x="2193249" y="19279"/>
          <a:ext cx="782401" cy="46944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Immediate Causes</a:t>
          </a:r>
        </a:p>
      </dsp:txBody>
      <dsp:txXfrm>
        <a:off x="2206998" y="33028"/>
        <a:ext cx="754903" cy="441943"/>
      </dsp:txXfrm>
    </dsp:sp>
    <dsp:sp modelId="{A8A1550B-8B91-0E4C-959D-FA61671CEFF1}">
      <dsp:nvSpPr>
        <dsp:cNvPr id="0" name=""/>
        <dsp:cNvSpPr/>
      </dsp:nvSpPr>
      <dsp:spPr>
        <a:xfrm>
          <a:off x="3053891" y="156982"/>
          <a:ext cx="165869" cy="19403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3053891" y="195789"/>
        <a:ext cx="116108" cy="116421"/>
      </dsp:txXfrm>
    </dsp:sp>
    <dsp:sp modelId="{03DA1306-1A92-0049-85C2-59EC7D1A2708}">
      <dsp:nvSpPr>
        <dsp:cNvPr id="0" name=""/>
        <dsp:cNvSpPr/>
      </dsp:nvSpPr>
      <dsp:spPr>
        <a:xfrm>
          <a:off x="3288611" y="19279"/>
          <a:ext cx="782401" cy="46944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Basic  Causes</a:t>
          </a:r>
        </a:p>
      </dsp:txBody>
      <dsp:txXfrm>
        <a:off x="3302360" y="33028"/>
        <a:ext cx="754903" cy="441943"/>
      </dsp:txXfrm>
    </dsp:sp>
    <dsp:sp modelId="{6ADCE7A6-2FB0-E949-8741-E87873F84D5C}">
      <dsp:nvSpPr>
        <dsp:cNvPr id="0" name=""/>
        <dsp:cNvSpPr/>
      </dsp:nvSpPr>
      <dsp:spPr>
        <a:xfrm>
          <a:off x="4149253" y="156982"/>
          <a:ext cx="165869" cy="19403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4149253" y="195789"/>
        <a:ext cx="116108" cy="116421"/>
      </dsp:txXfrm>
    </dsp:sp>
    <dsp:sp modelId="{ACC945A1-689E-8641-B007-4F1A6131F3B4}">
      <dsp:nvSpPr>
        <dsp:cNvPr id="0" name=""/>
        <dsp:cNvSpPr/>
      </dsp:nvSpPr>
      <dsp:spPr>
        <a:xfrm>
          <a:off x="4383974" y="19279"/>
          <a:ext cx="782401" cy="46944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Lack of Control</a:t>
          </a:r>
        </a:p>
      </dsp:txBody>
      <dsp:txXfrm>
        <a:off x="4397723" y="33028"/>
        <a:ext cx="754903" cy="4419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448</Words>
  <Characters>2557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cspindesign</dc:creator>
  <cp:lastModifiedBy>Charles Alday</cp:lastModifiedBy>
  <cp:revision>5</cp:revision>
  <cp:lastPrinted>2018-05-21T15:49:00Z</cp:lastPrinted>
  <dcterms:created xsi:type="dcterms:W3CDTF">2018-05-20T21:01:00Z</dcterms:created>
  <dcterms:modified xsi:type="dcterms:W3CDTF">2018-05-21T15:49:00Z</dcterms:modified>
</cp:coreProperties>
</file>